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7A" w:rsidRPr="007D007A" w:rsidRDefault="007D007A" w:rsidP="007D007A">
      <w:pPr>
        <w:pBdr>
          <w:bottom w:val="single" w:sz="6" w:space="1" w:color="auto"/>
        </w:pBdr>
        <w:spacing w:after="0" w:line="240" w:lineRule="auto"/>
        <w:jc w:val="center"/>
        <w:rPr>
          <w:rFonts w:ascii="Arial" w:eastAsia="Times New Roman" w:hAnsi="Arial" w:cs="Arial"/>
          <w:vanish/>
          <w:sz w:val="16"/>
          <w:szCs w:val="16"/>
          <w:lang w:eastAsia="tr-TR"/>
        </w:rPr>
      </w:pPr>
      <w:r w:rsidRPr="007D007A">
        <w:rPr>
          <w:rFonts w:ascii="Arial" w:eastAsia="Times New Roman" w:hAnsi="Arial" w:cs="Arial"/>
          <w:vanish/>
          <w:sz w:val="16"/>
          <w:szCs w:val="16"/>
          <w:lang w:eastAsia="tr-TR"/>
        </w:rPr>
        <w:t>Formun Üstü</w:t>
      </w:r>
    </w:p>
    <w:p w:rsidR="007D007A" w:rsidRPr="007D007A" w:rsidRDefault="007D007A" w:rsidP="007D007A">
      <w:pPr>
        <w:shd w:val="clear" w:color="auto" w:fill="FFFFFF"/>
        <w:spacing w:after="0" w:line="300" w:lineRule="atLeast"/>
        <w:jc w:val="center"/>
        <w:rPr>
          <w:rFonts w:ascii="Arial" w:eastAsia="Times New Roman" w:hAnsi="Arial" w:cs="Arial"/>
          <w:vanish/>
          <w:color w:val="1C283D"/>
          <w:sz w:val="15"/>
          <w:szCs w:val="15"/>
          <w:lang w:eastAsia="tr-TR"/>
        </w:rPr>
      </w:pPr>
      <w:r w:rsidRPr="007D007A">
        <w:rPr>
          <w:rFonts w:ascii="Arial" w:eastAsia="Times New Roman" w:hAnsi="Arial" w:cs="Arial"/>
          <w:noProof/>
          <w:vanish/>
          <w:color w:val="1C283D"/>
          <w:sz w:val="15"/>
          <w:szCs w:val="15"/>
          <w:lang w:eastAsia="tr-TR"/>
        </w:rPr>
        <w:drawing>
          <wp:inline distT="0" distB="0" distL="0" distR="0" wp14:anchorId="4714A28B" wp14:editId="10F51424">
            <wp:extent cx="142875" cy="142875"/>
            <wp:effectExtent l="0" t="0" r="9525" b="9525"/>
            <wp:docPr id="98" name="Resim 98"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oll u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7D007A" w:rsidRPr="007D007A" w:rsidRDefault="007D007A" w:rsidP="007D007A">
      <w:pPr>
        <w:shd w:val="clear" w:color="auto" w:fill="FFFFFF"/>
        <w:spacing w:after="100" w:line="300" w:lineRule="atLeast"/>
        <w:jc w:val="center"/>
        <w:rPr>
          <w:rFonts w:ascii="Arial" w:eastAsia="Times New Roman" w:hAnsi="Arial" w:cs="Arial"/>
          <w:vanish/>
          <w:color w:val="1C283D"/>
          <w:sz w:val="15"/>
          <w:szCs w:val="15"/>
          <w:lang w:eastAsia="tr-TR"/>
        </w:rPr>
      </w:pPr>
      <w:r w:rsidRPr="007D007A">
        <w:rPr>
          <w:rFonts w:ascii="Arial" w:eastAsia="Times New Roman" w:hAnsi="Arial" w:cs="Arial"/>
          <w:noProof/>
          <w:vanish/>
          <w:color w:val="1C283D"/>
          <w:sz w:val="15"/>
          <w:szCs w:val="15"/>
          <w:lang w:eastAsia="tr-TR"/>
        </w:rPr>
        <w:drawing>
          <wp:inline distT="0" distB="0" distL="0" distR="0" wp14:anchorId="7DAC821D" wp14:editId="59E8BEBE">
            <wp:extent cx="142875" cy="142875"/>
            <wp:effectExtent l="0" t="0" r="9525" b="9525"/>
            <wp:docPr id="99" name="Resim 99"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oll d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7D007A" w:rsidRPr="007D007A" w:rsidTr="007D007A">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D007A" w:rsidRPr="007D007A">
              <w:trPr>
                <w:tblCellSpacing w:w="15" w:type="dxa"/>
                <w:hidden/>
              </w:trPr>
              <w:tc>
                <w:tcPr>
                  <w:tcW w:w="0" w:type="auto"/>
                  <w:shd w:val="clear" w:color="auto" w:fill="FFFFFF"/>
                  <w:vAlign w:val="center"/>
                  <w:hideMark/>
                </w:tcPr>
                <w:p w:rsidR="007D007A" w:rsidRPr="007D007A" w:rsidRDefault="007D007A" w:rsidP="007D007A">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7D007A" w:rsidRPr="007D007A">
                    <w:trPr>
                      <w:tblCellSpacing w:w="15" w:type="dxa"/>
                      <w:jc w:val="center"/>
                    </w:trPr>
                    <w:tc>
                      <w:tcPr>
                        <w:tcW w:w="0" w:type="auto"/>
                        <w:vAlign w:val="center"/>
                        <w:hideMark/>
                      </w:tcPr>
                      <w:p w:rsidR="007D007A" w:rsidRDefault="007D007A" w:rsidP="007D007A">
                        <w:pPr>
                          <w:spacing w:after="240" w:line="300" w:lineRule="atLeast"/>
                          <w:rPr>
                            <w:rFonts w:ascii="Arial" w:eastAsia="Times New Roman" w:hAnsi="Arial" w:cs="Arial"/>
                            <w:color w:val="1C283D"/>
                            <w:sz w:val="15"/>
                            <w:szCs w:val="15"/>
                            <w:lang w:eastAsia="tr-TR"/>
                          </w:rPr>
                        </w:pPr>
                        <w:bookmarkStart w:id="0" w:name="_GoBack"/>
                        <w:bookmarkEnd w:id="0"/>
                        <w:r w:rsidRPr="007D007A">
                          <w:rPr>
                            <w:rFonts w:ascii="Arial" w:eastAsia="Times New Roman" w:hAnsi="Arial" w:cs="Arial"/>
                            <w:color w:val="1C283D"/>
                            <w:sz w:val="15"/>
                            <w:szCs w:val="15"/>
                            <w:lang w:eastAsia="tr-TR"/>
                          </w:rPr>
                          <w:t>Resmî Gazete Tarihi: 03.03.1983 Resmî Gazete Sayısı: 17976</w:t>
                        </w:r>
                      </w:p>
                      <w:p w:rsidR="0015509D" w:rsidRPr="007D007A" w:rsidRDefault="0015509D" w:rsidP="007D007A">
                        <w:pPr>
                          <w:spacing w:after="240" w:line="300" w:lineRule="atLeast"/>
                          <w:rPr>
                            <w:rFonts w:ascii="Arial" w:eastAsia="Times New Roman" w:hAnsi="Arial" w:cs="Arial"/>
                            <w:color w:val="1C283D"/>
                            <w:sz w:val="15"/>
                            <w:szCs w:val="15"/>
                            <w:lang w:eastAsia="tr-TR"/>
                          </w:rPr>
                        </w:pPr>
                      </w:p>
                      <w:p w:rsidR="007D007A" w:rsidRPr="007D007A" w:rsidRDefault="0015509D" w:rsidP="007D007A">
                        <w:pPr>
                          <w:spacing w:after="0" w:line="300" w:lineRule="atLeast"/>
                          <w:ind w:firstLine="284"/>
                          <w:jc w:val="center"/>
                          <w:rPr>
                            <w:rFonts w:ascii="Times New Roman" w:eastAsia="Times New Roman" w:hAnsi="Times New Roman" w:cs="Times New Roman"/>
                            <w:color w:val="1C283D"/>
                            <w:sz w:val="24"/>
                            <w:szCs w:val="24"/>
                            <w:lang w:eastAsia="tr-TR"/>
                          </w:rPr>
                        </w:pPr>
                        <w:r>
                          <w:rPr>
                            <w:rFonts w:ascii="Calibri" w:eastAsia="Times New Roman" w:hAnsi="Calibri" w:cs="Calibri"/>
                            <w:b/>
                            <w:bCs/>
                            <w:color w:val="1C283D"/>
                            <w:lang w:eastAsia="tr-TR"/>
                          </w:rPr>
                          <w:t>LİSANS</w:t>
                        </w:r>
                        <w:r w:rsidR="007D007A" w:rsidRPr="007D007A">
                          <w:rPr>
                            <w:rFonts w:ascii="Calibri" w:eastAsia="Times New Roman" w:hAnsi="Calibri" w:cs="Calibri"/>
                            <w:b/>
                            <w:bCs/>
                            <w:color w:val="1C283D"/>
                            <w:lang w:eastAsia="tr-TR"/>
                          </w:rPr>
                          <w:t>ÜSTÜ EĞİTİM-ÖĞRETİM ENSTİTÜLERİNİN TEŞKİLÂT VE İŞLEYİŞ YÖNETMELİĞİ</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Amaç:</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 –</w:t>
                        </w:r>
                        <w:r w:rsidRPr="007D007A">
                          <w:rPr>
                            <w:rFonts w:ascii="Calibri" w:eastAsia="Times New Roman" w:hAnsi="Calibri" w:cs="Calibri"/>
                            <w:color w:val="1C283D"/>
                            <w:lang w:eastAsia="tr-TR"/>
                          </w:rPr>
                          <w:t xml:space="preserve"> Bu Yönetmelik enstitülerin eğitim, öğretim, işletme ve </w:t>
                        </w:r>
                        <w:proofErr w:type="spellStart"/>
                        <w:r w:rsidRPr="007D007A">
                          <w:rPr>
                            <w:rFonts w:ascii="Calibri" w:eastAsia="Times New Roman" w:hAnsi="Calibri" w:cs="Calibri"/>
                            <w:color w:val="1C283D"/>
                            <w:lang w:eastAsia="tr-TR"/>
                          </w:rPr>
                          <w:t>teşkilâtlanmalarında</w:t>
                        </w:r>
                        <w:proofErr w:type="spellEnd"/>
                        <w:r w:rsidRPr="007D007A">
                          <w:rPr>
                            <w:rFonts w:ascii="Calibri" w:eastAsia="Times New Roman" w:hAnsi="Calibri" w:cs="Calibri"/>
                            <w:color w:val="1C283D"/>
                            <w:lang w:eastAsia="tr-TR"/>
                          </w:rPr>
                          <w:t xml:space="preserve"> beraberliği sağlayarak uygulamalar arasındaki birliği temin amacı güder.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Kapsam :</w:t>
                        </w:r>
                        <w:proofErr w:type="gramEnd"/>
                        <w:r w:rsidRPr="007D007A">
                          <w:rPr>
                            <w:rFonts w:ascii="Calibri" w:eastAsia="Times New Roman" w:hAnsi="Calibri" w:cs="Calibri"/>
                            <w:b/>
                            <w:bCs/>
                            <w:color w:val="1C283D"/>
                            <w:lang w:eastAsia="tr-TR"/>
                          </w:rPr>
                          <w:t xml:space="preserve">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2 –</w:t>
                        </w:r>
                        <w:r w:rsidRPr="007D007A">
                          <w:rPr>
                            <w:rFonts w:ascii="Calibri" w:eastAsia="Times New Roman" w:hAnsi="Calibri" w:cs="Calibri"/>
                            <w:color w:val="1C283D"/>
                            <w:lang w:eastAsia="tr-TR"/>
                          </w:rPr>
                          <w:t xml:space="preserve"> Bu Yönetmelik rektörlüklere ve dekanlara bağlı bütün araştırma ve eğitim-öğretim enstitülerinin işleyiş ve </w:t>
                        </w:r>
                        <w:proofErr w:type="spellStart"/>
                        <w:r w:rsidRPr="007D007A">
                          <w:rPr>
                            <w:rFonts w:ascii="Calibri" w:eastAsia="Times New Roman" w:hAnsi="Calibri" w:cs="Calibri"/>
                            <w:color w:val="1C283D"/>
                            <w:lang w:eastAsia="tr-TR"/>
                          </w:rPr>
                          <w:t>teşkilâtlanmasını</w:t>
                        </w:r>
                        <w:proofErr w:type="spellEnd"/>
                        <w:r w:rsidRPr="007D007A">
                          <w:rPr>
                            <w:rFonts w:ascii="Calibri" w:eastAsia="Times New Roman" w:hAnsi="Calibri" w:cs="Calibri"/>
                            <w:color w:val="1C283D"/>
                            <w:lang w:eastAsia="tr-TR"/>
                          </w:rPr>
                          <w:t xml:space="preserve"> belirler.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Teşkilât :</w:t>
                        </w:r>
                        <w:proofErr w:type="gramEnd"/>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3 –</w:t>
                        </w:r>
                        <w:r w:rsidRPr="007D007A">
                          <w:rPr>
                            <w:rFonts w:ascii="Calibri" w:eastAsia="Times New Roman" w:hAnsi="Calibri" w:cs="Calibri"/>
                            <w:color w:val="1C283D"/>
                            <w:lang w:eastAsia="tr-TR"/>
                          </w:rPr>
                          <w:t xml:space="preserve"> 2547 sayılı Kanun'un 19. maddesi gereğince kurulan enstitülerin organları, bu organların seçimleri, görev süreleri, yetki ve sorumlulukları aşağıda belirlenmiştir.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 Enstitünün organları, Enstitü Müdürü, Enstitü Kurulu ve Enstitü Yönetim Kuruludur.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 Enstitü Müdürü, fakültelerde üç yıl için ilgili dekanın önerisi üzerine rektör </w:t>
                        </w:r>
                        <w:proofErr w:type="spellStart"/>
                        <w:r w:rsidRPr="007D007A">
                          <w:rPr>
                            <w:rFonts w:ascii="Calibri" w:eastAsia="Times New Roman" w:hAnsi="Calibri" w:cs="Calibri"/>
                            <w:color w:val="1C283D"/>
                            <w:lang w:eastAsia="tr-TR"/>
                          </w:rPr>
                          <w:t>tarafindan</w:t>
                        </w:r>
                        <w:proofErr w:type="spellEnd"/>
                        <w:r w:rsidRPr="007D007A">
                          <w:rPr>
                            <w:rFonts w:ascii="Calibri" w:eastAsia="Times New Roman" w:hAnsi="Calibri" w:cs="Calibri"/>
                            <w:color w:val="1C283D"/>
                            <w:lang w:eastAsia="tr-TR"/>
                          </w:rPr>
                          <w:t xml:space="preserve"> atanır. Rektörlüğe bağlı enstitülerde bu atama doğrudan rektör tarafından yapılır. Süresi biten müdür tekrar atanabilir. Müdürün, enstitüde görevli aylıklı öğretim elemanları arasından üç yıl için atayacağı en çok iki yardımcısı bulunur.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Müdüre vekâlet etme veya müdürlüğün boşalması hallerinde yapılacak işlem, dekanlarda olduğu gibidir. Enstitü Müdürü, 2547 sayılı Kanunla dekanlara verilmiş olan görevleri enstitü bakımından yerine getirir.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c) Enstitü Kurulu, müdürün başkanlığında, müdür yardımcıları ve enstitüyü oluşturan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başkanlarından oluşur.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d) Enstitü Yönetim Kurulu, müdürün başkanlığında, müdür yardımcıları, müdürce gösterilecek altı aday arasından Enstitü Kurulu tarafından üç yıl için seçilecek üç öğretim üyesinden oluşur.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 Enstitü Kurulu ve Enstitü Yönetim Kurulu, 2547 sayılı Kanunla Fakülte Kurulu ve Fakülte Yönetim Kuruluna verilmiş görevleri enstitü bakımından yerine getirirler.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4 – (</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 xml:space="preserve">-18/3/1989-20112)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Bir programda, lisansüstü eğitim-öğretim yapılabilmesi için, o programla ilgili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 lisans eğitim-öğretimi yapılmakta olması şart değildir.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Lisansüstü eğitim-öğretime rektörün önerisi üzerine Yükseköğretim Kurulu karar verir.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5 –</w:t>
                        </w:r>
                        <w:r w:rsidRPr="007D007A">
                          <w:rPr>
                            <w:rFonts w:ascii="Calibri" w:eastAsia="Times New Roman" w:hAnsi="Calibri" w:cs="Calibri"/>
                            <w:color w:val="1C283D"/>
                            <w:lang w:eastAsia="tr-TR"/>
                          </w:rPr>
                          <w:t xml:space="preserve"> 2547 sayılı Kanun'un 19. maddesi hükmü gereğince, rektörlüklere bağlı enstitülerin yapılarını oluşturan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aşağıdaki şekilde tespit edilir.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Fen Bilimleri Enstitüsünün enstitü anabilim dalları, o üniversitede mevcut olan Fen, Mühendislik, Mimarlık, Mühendislik-Mimarlık, Gemi İnşaatı ve Deniz Bilimleri, Maden, İnşaat, Elektrik-Elektronik, Makina, Kimya-</w:t>
                        </w:r>
                        <w:proofErr w:type="spellStart"/>
                        <w:r w:rsidRPr="007D007A">
                          <w:rPr>
                            <w:rFonts w:ascii="Calibri" w:eastAsia="Times New Roman" w:hAnsi="Calibri" w:cs="Calibri"/>
                            <w:color w:val="1C283D"/>
                            <w:lang w:eastAsia="tr-TR"/>
                          </w:rPr>
                          <w:t>Metalurji</w:t>
                        </w:r>
                        <w:proofErr w:type="spellEnd"/>
                        <w:r w:rsidRPr="007D007A">
                          <w:rPr>
                            <w:rFonts w:ascii="Calibri" w:eastAsia="Times New Roman" w:hAnsi="Calibri" w:cs="Calibri"/>
                            <w:color w:val="1C283D"/>
                            <w:lang w:eastAsia="tr-TR"/>
                          </w:rPr>
                          <w:t xml:space="preserve">, Uçak ve Uzay Bilimleri, Ziraat, Orman, Su Ürünleri, Denizcilik Fakültelerinin bölümleri; Fen-Edebiyat, Endüstriyel Sanatlar Eğitim ile Eğitim Fakültelerinin Fen alanındaki bölümleri, Mesleki Eğitim Fakültelerinin Teknoloji Eğitimi bölümüyle aynı adları taşırlar. Fakültelerin bölüm başkanları aynı zamanda enstitü anabilim dalının da başkanıdırlar.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Sosyal Bilimler Enstitüsünün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o üniversitede mevcut olan Edebiyat, İktisat, İşletme, İktisadi ve İdari Bilimler, Siyasal Bilgiler, Hukuk, İlahiyat, Dil ve Tarih-Coğrafya, Güzel Sanatlar, İletişim, Mesleki Yaygın Eğitim, Ticaret ve Turizm Eğitimi, Eğitim Bilimleri Fakülteleri ile Konservatuvarların bölümleri; Fen-Edebiyat, </w:t>
                        </w:r>
                        <w:r w:rsidRPr="007D007A">
                          <w:rPr>
                            <w:rFonts w:ascii="Calibri" w:eastAsia="Times New Roman" w:hAnsi="Calibri" w:cs="Calibri"/>
                            <w:color w:val="1C283D"/>
                            <w:lang w:eastAsia="tr-TR"/>
                          </w:rPr>
                          <w:lastRenderedPageBreak/>
                          <w:t xml:space="preserve">İnsanî Bilimler ve Edebiyat, Mesleki Eğitim ve Eğitim Fakültelerinin Fen alanı dışındaki bölümleriyle aynı adları taşırlar. Fakültelerin ve Konservatuvarların bölüm başkanları, aynı zamanda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dalının da başkanıdırlar.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c)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Sağlık Bilimleri Enstitüsünün enstitü anabilim dalları, o üniversitede mevcut olan Tıp, Diş Hekimliği, Eczacılık ve Veteriner Fakültelerinin eğitim yapılan anabilim dalları ile Eğitim Fakültelerinin beden eğitimi ve spor bölümleridir. Bu anabilim dallarının başkanları ile beden eğilimi ve spor bölüm başkanları aynı zamanda Sağlık Bilimleri Enstitüsünün anabilim dallarının da başkanlarıdır.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d) Fen Bilimleri, Sosyal Bilimler ve Sağlık Bilimleri Enstitülerinde, rektörün önerisi ve Yükseköğretim Kurulu kararı ile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öğretim yapmak üzere, bir fakülte, bölüm veya anabilim dalından değişik bir ad taşıyan, </w:t>
                        </w:r>
                        <w:proofErr w:type="spellStart"/>
                        <w:r w:rsidRPr="007D007A">
                          <w:rPr>
                            <w:rFonts w:ascii="Calibri" w:eastAsia="Times New Roman" w:hAnsi="Calibri" w:cs="Calibri"/>
                            <w:color w:val="1C283D"/>
                            <w:lang w:eastAsia="tr-TR"/>
                          </w:rPr>
                          <w:t>disiplinlerarası</w:t>
                        </w:r>
                        <w:proofErr w:type="spellEnd"/>
                        <w:r w:rsidRPr="007D007A">
                          <w:rPr>
                            <w:rFonts w:ascii="Calibri" w:eastAsia="Times New Roman" w:hAnsi="Calibri" w:cs="Calibri"/>
                            <w:color w:val="1C283D"/>
                            <w:lang w:eastAsia="tr-TR"/>
                          </w:rPr>
                          <w:t xml:space="preserve"> bir enstitü anabilim dalı kurulabilir. Bu tür bir enstitü anabilim dalının başkanı, ilgili dekanların görüşleri alınarak, Enstitü Müdürü tarafından atanır.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Fen Bilimleri, Sosyal Bilimler ve Sağlık Bilimleri Enstitüleri dışında kalan, rektörlüklere bağlı enstitülerin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bu enstitülerin özellikleri dikkate alınarak, Yükseköğretim Kurulu tarafından tespit edilir. Bu enstitülerde,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 Enstitü Müdürü tarafından atanır.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 xml:space="preserve">(Ek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Enstitü anabilim dalı başkanları, fakültelerde bölüm başkanlarına verilen görevleri enstitü bakımından yerine getirirler.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Madde 6 – Bir fakülteye bağlı yüksekokullarda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çalışmalar, fakültenin tabi olduğu statü içerisinde ve fakültenin lisans üstü eğitiminin devam ettiği enstitüde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 xml:space="preserve">(Değişik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Turizm İşletmeciliği ve Otelcilik Yüksekokulları, Sosyal Hizmetler Yüksekokulları mezunları Sosyal Bilimler Enstitülerinde; Sivil Havacılık Yüksekokulları, Tütün Eksperliği Yüksekokulları, Mesleki Teknoloji Yüksekokulları, Endüstriyel Sanatlar Yüksekokulları mezunları Fen Bilimleri Enstitülerinde; Fizik Tedavi ve Rehabilitasyon, Hemşirelik, Sağlık İdaresi, Sağlık Teknoloji, Ev Ekonomisi, Beden Eğitimi ve Spor, Hayvan Sağlığı Yüksekokulları mezunları Sağlık Bilimleri Enstitülerinde lisansüstü eğitim öğretim görebilirler. Bu yüksekokulların müdürleri veya yardımcıları bu alanlarda ilgili Enstitü anabilim dalı başkanı görevlerini de yürütürler.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7 – (</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 xml:space="preserve">-4/7/1988-19862)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Lisansüstü programlar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ile aynı adları taşırlar. Ancak, rektörün önerisi ve Yükseköğretim Kurulu kararı ile bir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 o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dalından değişik bir ad taşıyan bir lisansüstü program da açılabilir.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Bir lisansüstü programı; yüksek lisans, doktora veya sanatta yeterlik unvanlarına yönelik belirli sayıda ve belirli muhteva ve adları taşıyan zorunlu ve seçmeli dersler ile doktora yeterlik sınavı, sanat yeterliği sınavı, tez, sanat eseri ve uygulamalardan oluşur.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Enstitülerce yürütülecek lisansüstü programların asgari muhtevaları, Üniversitelerarası Kurulda belirlenir.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İşleyiş :</w:t>
                        </w:r>
                        <w:proofErr w:type="gramEnd"/>
                        <w:r w:rsidRPr="007D007A">
                          <w:rPr>
                            <w:rFonts w:ascii="Calibri" w:eastAsia="Times New Roman" w:hAnsi="Calibri" w:cs="Calibri"/>
                            <w:b/>
                            <w:bCs/>
                            <w:color w:val="1C283D"/>
                            <w:lang w:eastAsia="tr-TR"/>
                          </w:rPr>
                          <w:t xml:space="preserve">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8 –</w:t>
                        </w:r>
                        <w:r w:rsidRPr="007D007A">
                          <w:rPr>
                            <w:rFonts w:ascii="Calibri" w:eastAsia="Times New Roman" w:hAnsi="Calibri" w:cs="Calibri"/>
                            <w:color w:val="1C283D"/>
                            <w:lang w:eastAsia="tr-TR"/>
                          </w:rPr>
                          <w:t xml:space="preserve"> </w:t>
                        </w:r>
                        <w:r w:rsidRPr="007D007A">
                          <w:rPr>
                            <w:rFonts w:ascii="Calibri" w:eastAsia="Times New Roman" w:hAnsi="Calibri" w:cs="Calibri"/>
                            <w:b/>
                            <w:bCs/>
                            <w:color w:val="1C283D"/>
                            <w:lang w:eastAsia="tr-TR"/>
                          </w:rPr>
                          <w:t xml:space="preserve">(Değişik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Lisansüstü öğretim, 2809 sayılı kanun ile üniversitelerde rektörlüklere bağlı olarak kurulan enstitüler tarafından düzenlenir ve yürütülür. Lisansüstü öğretim ve bununla ilgili faaliyetlerin gerektirdiği harcamalar; üniversite bütçesinden, döner sermayelerden, üniversite dışı kurum ve kuruluşlardan üniversiteye yapılacak araştırma ile ilgili mali destekten, rektörlüğün onay ve iznine bağlı olarak, ilgili enstitü müdürü tarafından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 öğretim, araştırma, uygulama ve yayın faaliyetleri ile ilgili çalışmaların sürdürülmesinde, üniversite birimlerinin imkânlarından da yararlanılır.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lastRenderedPageBreak/>
                          <w:t xml:space="preserve">Sağlık Bilimlerindeki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çalışmalar ilgili kuruluşun klinik, poliklinik, Laboratuvar ve ameliyathane gibi tesislerinde veya uygulama ve araştırma merkezlerinde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9 –</w:t>
                        </w:r>
                        <w:r w:rsidRPr="007D007A">
                          <w:rPr>
                            <w:rFonts w:ascii="Calibri" w:eastAsia="Times New Roman" w:hAnsi="Calibri" w:cs="Calibri"/>
                            <w:color w:val="1C283D"/>
                            <w:lang w:eastAsia="tr-TR"/>
                          </w:rPr>
                          <w:t xml:space="preserve"> Enstitü Anabilim Dalları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ders programları, Üniversite Senatolarınca kararlaştırılan asgari muhtevaya uymak şartı ile ilgili Enstitü Kurulunda görüşülür ve bu kurul tarafından onaylanır.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Bir yarıyılda hangi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derslerin açılacağı ve bu derslerin hangi öğretim üyeleri tarafından verileceği, ilgili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başkanlarının öğretim üyeleriyle birlikte yapacakları tespitlere dayalı olarak Enstitü Kurulu tarafından belirlenir.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10 –</w:t>
                        </w:r>
                        <w:r w:rsidRPr="007D007A">
                          <w:rPr>
                            <w:rFonts w:ascii="Calibri" w:eastAsia="Times New Roman" w:hAnsi="Calibri" w:cs="Calibri"/>
                            <w:color w:val="1C283D"/>
                            <w:lang w:eastAsia="tr-TR"/>
                          </w:rPr>
                          <w:t xml:space="preserve"> Öğrenciler, hangi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programda öğretim görmek istediklerini giriş sınavı için aday kaydı sırasında belirlerler.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Enstitü Kurulu tarafından onaylanan dersler içinden hangilerinin öğrencilerin özel ders programlarında yer alacağına, öğrencinin danışmanı karar verir. Bu görev, tez danışmanı atanıncaya kadar, ilgili Enstitü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 başkanı tarafından yapılır.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11 –</w:t>
                        </w:r>
                        <w:r w:rsidRPr="007D007A">
                          <w:rPr>
                            <w:rFonts w:ascii="Calibri" w:eastAsia="Times New Roman" w:hAnsi="Calibri" w:cs="Calibri"/>
                            <w:color w:val="1C283D"/>
                            <w:lang w:eastAsia="tr-TR"/>
                          </w:rPr>
                          <w:t xml:space="preserve"> Tez veya sanat yeterliği danışmanları, ilgili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 ile ilgili dekanların görüşleri de alınarak, Enstitü Yönetim Kurulu tarafından atanır ve öğrencilerin tez veya uygulama konuları belirlenir.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12 –</w:t>
                        </w:r>
                        <w:r w:rsidRPr="007D007A">
                          <w:rPr>
                            <w:rFonts w:ascii="Calibri" w:eastAsia="Times New Roman" w:hAnsi="Calibri" w:cs="Calibri"/>
                            <w:color w:val="1C283D"/>
                            <w:lang w:eastAsia="tr-TR"/>
                          </w:rPr>
                          <w:t xml:space="preserve">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dallarının, birden fazla enstitünün ilgi alanına giren,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eğitim-öğretim, araştırma, uygulama ve yayın faaliyetlerinin gerektirdiği koordinasyon ilgili enstitü müdürleri tarafından sağlanır.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13 –</w:t>
                        </w:r>
                        <w:r w:rsidRPr="007D007A">
                          <w:rPr>
                            <w:rFonts w:ascii="Calibri" w:eastAsia="Times New Roman" w:hAnsi="Calibri" w:cs="Calibri"/>
                            <w:color w:val="1C283D"/>
                            <w:lang w:eastAsia="tr-TR"/>
                          </w:rPr>
                          <w:t xml:space="preserve"> Üniversiteler,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 öğretim enstitülerinin enstitü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 kurulmamış dallarında eleman yetiştirmek üzere, bu alanlarda eğitim yapan üniversitelere öğrenci gönderebilirler. Üniversiteler bu öğrencilere burs verebilecekleri gibi uygun </w:t>
                        </w:r>
                        <w:proofErr w:type="gramStart"/>
                        <w:r w:rsidRPr="007D007A">
                          <w:rPr>
                            <w:rFonts w:ascii="Calibri" w:eastAsia="Times New Roman" w:hAnsi="Calibri" w:cs="Calibri"/>
                            <w:color w:val="1C283D"/>
                            <w:lang w:eastAsia="tr-TR"/>
                          </w:rPr>
                          <w:t>kadrolarını,</w:t>
                        </w:r>
                        <w:proofErr w:type="gramEnd"/>
                        <w:r w:rsidRPr="007D007A">
                          <w:rPr>
                            <w:rFonts w:ascii="Calibri" w:eastAsia="Times New Roman" w:hAnsi="Calibri" w:cs="Calibri"/>
                            <w:color w:val="1C283D"/>
                            <w:lang w:eastAsia="tr-TR"/>
                          </w:rPr>
                          <w:t xml:space="preserve"> veya diğer mali imkânlarını bu dalda eğitim yapan üniversitelerin enstitülerine tahsis etmeleri de mümkündür. Böyle tahsis edilen bir burs veya bir kadroya veya diğer malî imkâna, sınavla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öğrenci seçimi, eğitim yapacak üniversitenin enstitüsü tarafından yürütülür, ancak ataması kadronun ait olduğu üniversiteye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Ek Madde 1 – (</w:t>
                        </w:r>
                        <w:proofErr w:type="gramStart"/>
                        <w:r w:rsidRPr="007D007A">
                          <w:rPr>
                            <w:rFonts w:ascii="Calibri" w:eastAsia="Times New Roman" w:hAnsi="Calibri" w:cs="Calibri"/>
                            <w:b/>
                            <w:bCs/>
                            <w:color w:val="1C283D"/>
                            <w:lang w:eastAsia="tr-TR"/>
                          </w:rPr>
                          <w:t>Ek:RG</w:t>
                        </w:r>
                        <w:proofErr w:type="gramEnd"/>
                        <w:r w:rsidRPr="007D007A">
                          <w:rPr>
                            <w:rFonts w:ascii="Calibri" w:eastAsia="Times New Roman" w:hAnsi="Calibri" w:cs="Calibri"/>
                            <w:b/>
                            <w:bCs/>
                            <w:color w:val="1C283D"/>
                            <w:lang w:eastAsia="tr-TR"/>
                          </w:rPr>
                          <w:t xml:space="preserve">-16/7/1999-23757)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İki veya daha fazla yükseköğretim kurumunun önerisi ve Yükseköğretim Kurulu kararı </w:t>
                        </w:r>
                        <w:proofErr w:type="gramStart"/>
                        <w:r w:rsidRPr="007D007A">
                          <w:rPr>
                            <w:rFonts w:ascii="Calibri" w:eastAsia="Times New Roman" w:hAnsi="Calibri" w:cs="Calibri"/>
                            <w:color w:val="1C283D"/>
                            <w:lang w:eastAsia="tr-TR"/>
                          </w:rPr>
                          <w:t>ile,</w:t>
                        </w:r>
                        <w:proofErr w:type="gramEnd"/>
                        <w:r w:rsidRPr="007D007A">
                          <w:rPr>
                            <w:rFonts w:ascii="Calibri" w:eastAsia="Times New Roman" w:hAnsi="Calibri" w:cs="Calibri"/>
                            <w:color w:val="1C283D"/>
                            <w:lang w:eastAsia="tr-TR"/>
                          </w:rPr>
                          <w:t xml:space="preserve"> yükseköğretim kurumları arasında ortaklaşa yürütülecek lisans üstü programlar açılabilir.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Ayrıca, kamu ve özel sektör kuruluşları da, ortak lisansüstü programlar açmak için yükseköğretim kurumlarına öneride bulunabilirler. Bu öneriler, yukarıda belirtilen usule göre sonuçlandırılır.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Bu şekilde açılacak lisansüstü programların uygulama esasları, bu Yönetmelik ve 1/7/1996 tarihli ve 22683 sayılı Resmî </w:t>
                        </w:r>
                        <w:proofErr w:type="spellStart"/>
                        <w:r w:rsidRPr="007D007A">
                          <w:rPr>
                            <w:rFonts w:ascii="Calibri" w:eastAsia="Times New Roman" w:hAnsi="Calibri" w:cs="Calibri"/>
                            <w:color w:val="1C283D"/>
                            <w:lang w:eastAsia="tr-TR"/>
                          </w:rPr>
                          <w:t>Gazete’de</w:t>
                        </w:r>
                        <w:proofErr w:type="spellEnd"/>
                        <w:r w:rsidRPr="007D007A">
                          <w:rPr>
                            <w:rFonts w:ascii="Calibri" w:eastAsia="Times New Roman" w:hAnsi="Calibri" w:cs="Calibri"/>
                            <w:color w:val="1C283D"/>
                            <w:lang w:eastAsia="tr-TR"/>
                          </w:rPr>
                          <w:t xml:space="preserve"> yayımlanan Lisansüstü Eğitim ve Öğretim Yönetmeliği hükümleri çerçevesinde, ilgili yükseköğretim kurumları tarafından ortaklaşa belirlenir.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Geçici Madde 1 –</w:t>
                        </w:r>
                        <w:r w:rsidRPr="007D007A">
                          <w:rPr>
                            <w:rFonts w:ascii="Calibri" w:eastAsia="Times New Roman" w:hAnsi="Calibri" w:cs="Calibri"/>
                            <w:color w:val="1C283D"/>
                            <w:lang w:eastAsia="tr-TR"/>
                          </w:rPr>
                          <w:t xml:space="preserve"> Bu Yönetmelik yayınlanmadan önce, o yükseköğretim kurumunda veya kuruluşta mevcut olan mevzuata uygun olarak sürdürülen işleyiş ve uygulamalar, en geç 1982-1983 ikinci yarıyılından itibaren bu Yönetmelik hükümlerine intibak ettirilir.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Geçici Madde 2 –</w:t>
                        </w:r>
                        <w:r w:rsidRPr="007D007A">
                          <w:rPr>
                            <w:rFonts w:ascii="Calibri" w:eastAsia="Times New Roman" w:hAnsi="Calibri" w:cs="Calibri"/>
                            <w:color w:val="1C283D"/>
                            <w:lang w:eastAsia="tr-TR"/>
                          </w:rPr>
                          <w:t xml:space="preserve"> Bu Yönetmeliğin yürürlüğe girişinden itibaren iki ay içinde, yükseköğretim kurumları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yapıları ile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programlarının adlarını onay için Yükseköğretim Kurulu’na gönderir. Bu programlardan hangilerinin o yükseköğretim kurumunda sürdürülmesine devam edileceğine Yükseköğretim Kurulu karar verir.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14 –</w:t>
                        </w:r>
                        <w:r w:rsidRPr="007D007A">
                          <w:rPr>
                            <w:rFonts w:ascii="Calibri" w:eastAsia="Times New Roman" w:hAnsi="Calibri" w:cs="Calibri"/>
                            <w:color w:val="1C283D"/>
                            <w:lang w:eastAsia="tr-TR"/>
                          </w:rPr>
                          <w:t xml:space="preserve"> Bu Yönetmelik yayımı tarihinde yürürlüğe girer.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15 –</w:t>
                        </w:r>
                        <w:r w:rsidRPr="007D007A">
                          <w:rPr>
                            <w:rFonts w:ascii="Calibri" w:eastAsia="Times New Roman" w:hAnsi="Calibri" w:cs="Calibri"/>
                            <w:color w:val="1C283D"/>
                            <w:lang w:eastAsia="tr-TR"/>
                          </w:rPr>
                          <w:t xml:space="preserve"> Bu Yönetmelik Yükseköğretim Kurulu Başkanı tarafından yürütülür.  </w:t>
                        </w:r>
                      </w:p>
                      <w:p w:rsidR="007D007A" w:rsidRPr="007D007A" w:rsidRDefault="007D007A" w:rsidP="007D007A">
                        <w:pPr>
                          <w:spacing w:after="0" w:line="300" w:lineRule="atLeast"/>
                          <w:jc w:val="right"/>
                          <w:rPr>
                            <w:rFonts w:ascii="Arial" w:eastAsia="Times New Roman" w:hAnsi="Arial" w:cs="Arial"/>
                            <w:b/>
                            <w:bCs/>
                            <w:color w:val="808080"/>
                            <w:sz w:val="15"/>
                            <w:szCs w:val="15"/>
                            <w:lang w:eastAsia="tr-TR"/>
                          </w:rPr>
                        </w:pPr>
                        <w:r w:rsidRPr="007D007A">
                          <w:rPr>
                            <w:rFonts w:ascii="Arial" w:eastAsia="Times New Roman" w:hAnsi="Arial" w:cs="Arial"/>
                            <w:b/>
                            <w:bCs/>
                            <w:color w:val="808080"/>
                            <w:sz w:val="15"/>
                            <w:szCs w:val="15"/>
                            <w:lang w:eastAsia="tr-TR"/>
                          </w:rPr>
                          <w:t xml:space="preserve">Sayfa </w:t>
                        </w:r>
                      </w:p>
                      <w:p w:rsidR="007D007A" w:rsidRPr="007D007A" w:rsidRDefault="007D007A" w:rsidP="007D007A">
                        <w:pPr>
                          <w:spacing w:after="0" w:line="300" w:lineRule="atLeast"/>
                          <w:jc w:val="right"/>
                          <w:rPr>
                            <w:rFonts w:ascii="Arial" w:eastAsia="Times New Roman" w:hAnsi="Arial" w:cs="Arial"/>
                            <w:b/>
                            <w:bCs/>
                            <w:color w:val="808080"/>
                            <w:sz w:val="15"/>
                            <w:szCs w:val="15"/>
                            <w:lang w:eastAsia="tr-TR"/>
                          </w:rPr>
                        </w:pPr>
                      </w:p>
                    </w:tc>
                  </w:tr>
                </w:tbl>
                <w:p w:rsidR="007D007A" w:rsidRPr="007D007A" w:rsidRDefault="007D007A" w:rsidP="007D007A">
                  <w:pPr>
                    <w:spacing w:after="0" w:line="300" w:lineRule="atLeast"/>
                    <w:jc w:val="center"/>
                    <w:rPr>
                      <w:rFonts w:ascii="Arial" w:eastAsia="Times New Roman" w:hAnsi="Arial" w:cs="Arial"/>
                      <w:color w:val="1C283D"/>
                      <w:sz w:val="15"/>
                      <w:szCs w:val="15"/>
                      <w:lang w:eastAsia="tr-TR"/>
                    </w:rPr>
                  </w:pPr>
                </w:p>
              </w:tc>
            </w:tr>
          </w:tbl>
          <w:p w:rsidR="007D007A" w:rsidRPr="007D007A" w:rsidRDefault="007D007A" w:rsidP="007D007A">
            <w:pPr>
              <w:spacing w:after="0" w:line="300" w:lineRule="atLeast"/>
              <w:rPr>
                <w:rFonts w:ascii="Arial" w:eastAsia="Times New Roman" w:hAnsi="Arial" w:cs="Arial"/>
                <w:color w:val="1C283D"/>
                <w:sz w:val="15"/>
                <w:szCs w:val="15"/>
                <w:lang w:eastAsia="tr-TR"/>
              </w:rPr>
            </w:pPr>
          </w:p>
        </w:tc>
      </w:tr>
      <w:tr w:rsidR="007D007A" w:rsidRPr="007D007A" w:rsidTr="007D007A">
        <w:tblPrEx>
          <w:jc w:val="center"/>
        </w:tblPrEx>
        <w:trPr>
          <w:tblCellSpacing w:w="0" w:type="dxa"/>
          <w:jc w:val="center"/>
        </w:trPr>
        <w:tc>
          <w:tcPr>
            <w:tcW w:w="0" w:type="auto"/>
            <w:tcBorders>
              <w:top w:val="single" w:sz="6" w:space="0" w:color="C0C0C0"/>
              <w:left w:val="nil"/>
              <w:bottom w:val="nil"/>
              <w:right w:val="nil"/>
            </w:tcBorders>
            <w:tcMar>
              <w:top w:w="45" w:type="dxa"/>
              <w:left w:w="45" w:type="dxa"/>
              <w:bottom w:w="45" w:type="dxa"/>
              <w:right w:w="45" w:type="dxa"/>
            </w:tcMar>
            <w:vAlign w:val="bottom"/>
            <w:hideMark/>
          </w:tcPr>
          <w:p w:rsidR="007D007A" w:rsidRPr="007D007A" w:rsidRDefault="007D007A" w:rsidP="007D007A">
            <w:pPr>
              <w:spacing w:after="0" w:line="300" w:lineRule="atLeast"/>
              <w:rPr>
                <w:rFonts w:ascii="Arial" w:eastAsia="Times New Roman" w:hAnsi="Arial" w:cs="Arial"/>
                <w:color w:val="1C283D"/>
                <w:sz w:val="15"/>
                <w:szCs w:val="15"/>
                <w:lang w:eastAsia="tr-TR"/>
              </w:rPr>
            </w:pPr>
          </w:p>
        </w:tc>
      </w:tr>
    </w:tbl>
    <w:p w:rsidR="007D007A" w:rsidRPr="007D007A" w:rsidRDefault="007D007A" w:rsidP="007D007A">
      <w:pPr>
        <w:spacing w:after="0" w:line="300" w:lineRule="atLeast"/>
        <w:rPr>
          <w:rFonts w:ascii="Arial" w:eastAsia="Times New Roman" w:hAnsi="Arial" w:cs="Arial"/>
          <w:color w:val="1C283D"/>
          <w:sz w:val="15"/>
          <w:szCs w:val="15"/>
          <w:lang w:eastAsia="tr-TR"/>
        </w:rPr>
      </w:pPr>
    </w:p>
    <w:p w:rsidR="007D007A" w:rsidRPr="007D007A" w:rsidRDefault="007D007A" w:rsidP="007D007A">
      <w:pPr>
        <w:pBdr>
          <w:top w:val="single" w:sz="6" w:space="1" w:color="auto"/>
        </w:pBdr>
        <w:spacing w:after="0" w:line="240" w:lineRule="auto"/>
        <w:jc w:val="center"/>
        <w:rPr>
          <w:rFonts w:ascii="Arial" w:eastAsia="Times New Roman" w:hAnsi="Arial" w:cs="Arial"/>
          <w:vanish/>
          <w:sz w:val="16"/>
          <w:szCs w:val="16"/>
          <w:lang w:eastAsia="tr-TR"/>
        </w:rPr>
      </w:pPr>
      <w:r w:rsidRPr="007D007A">
        <w:rPr>
          <w:rFonts w:ascii="Arial" w:eastAsia="Times New Roman" w:hAnsi="Arial" w:cs="Arial"/>
          <w:vanish/>
          <w:sz w:val="16"/>
          <w:szCs w:val="16"/>
          <w:lang w:eastAsia="tr-TR"/>
        </w:rPr>
        <w:t>Formun Altı</w:t>
      </w:r>
    </w:p>
    <w:p w:rsidR="00622BF6" w:rsidRDefault="007D007A" w:rsidP="007D007A">
      <w:r w:rsidRPr="007D007A">
        <w:rPr>
          <w:rFonts w:ascii="Arial" w:eastAsia="Times New Roman" w:hAnsi="Arial" w:cs="Arial"/>
          <w:noProof/>
          <w:color w:val="1C283D"/>
          <w:sz w:val="15"/>
          <w:szCs w:val="15"/>
          <w:lang w:eastAsia="tr-TR"/>
        </w:rPr>
        <mc:AlternateContent>
          <mc:Choice Requires="wps">
            <w:drawing>
              <wp:inline distT="0" distB="0" distL="0" distR="0" wp14:anchorId="4A7B18D3" wp14:editId="54112F80">
                <wp:extent cx="304800" cy="304800"/>
                <wp:effectExtent l="0" t="0" r="0" b="0"/>
                <wp:docPr id="2" name="__overFlowElement" descr="http://www.mevzuat.gov.tr/Metin.Aspx?MevzuatKod=7.5.10165&amp;MevzuatIliski=0&amp;sourceXmlSearch=Lisans%20%C3%9Cst%C3%BC%20E%C4%9Fitim-%C3%96%C4%9Fret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D32A3" id="__overFlowElement" o:spid="_x0000_s1026" alt="http://www.mevzuat.gov.tr/Metin.Aspx?MevzuatKod=7.5.10165&amp;MevzuatIliski=0&amp;sourceXmlSearch=Lisans%20%C3%9Cst%C3%BC%20E%C4%9Fitim-%C3%96%C4%9Freti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nOZKNLQMAAF8G&#10;AAAOAAAAAAAAAAAAAAAAAC4CAABkcnMvZTJvRG9jLnhtbFBLAQItABQABgAIAAAAIQBMoOks2AAA&#10;AAMBAAAPAAAAAAAAAAAAAAAAAIcFAABkcnMvZG93bnJldi54bWxQSwUGAAAAAAQABADzAAAAjAYA&#10;AAAA&#10;" filled="f" stroked="f">
                <o:lock v:ext="edit" aspectratio="t"/>
                <w10:anchorlock/>
              </v:rect>
            </w:pict>
          </mc:Fallback>
        </mc:AlternateContent>
      </w:r>
    </w:p>
    <w:sectPr w:rsidR="00622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7A"/>
    <w:rsid w:val="0015509D"/>
    <w:rsid w:val="00622BF6"/>
    <w:rsid w:val="007D007A"/>
    <w:rsid w:val="00FB3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D02E-B4F7-4180-89BA-DF1F06E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2774">
      <w:bodyDiv w:val="1"/>
      <w:marLeft w:val="0"/>
      <w:marRight w:val="0"/>
      <w:marTop w:val="0"/>
      <w:marBottom w:val="0"/>
      <w:divBdr>
        <w:top w:val="none" w:sz="0" w:space="0" w:color="auto"/>
        <w:left w:val="none" w:sz="0" w:space="0" w:color="auto"/>
        <w:bottom w:val="none" w:sz="0" w:space="0" w:color="auto"/>
        <w:right w:val="none" w:sz="0" w:space="0" w:color="auto"/>
      </w:divBdr>
      <w:divsChild>
        <w:div w:id="1036275104">
          <w:marLeft w:val="0"/>
          <w:marRight w:val="0"/>
          <w:marTop w:val="0"/>
          <w:marBottom w:val="0"/>
          <w:divBdr>
            <w:top w:val="none" w:sz="0" w:space="0" w:color="auto"/>
            <w:left w:val="none" w:sz="0" w:space="0" w:color="auto"/>
            <w:bottom w:val="none" w:sz="0" w:space="0" w:color="auto"/>
            <w:right w:val="none" w:sz="0" w:space="0" w:color="auto"/>
          </w:divBdr>
        </w:div>
        <w:div w:id="550044047">
          <w:marLeft w:val="0"/>
          <w:marRight w:val="0"/>
          <w:marTop w:val="0"/>
          <w:marBottom w:val="0"/>
          <w:divBdr>
            <w:top w:val="none" w:sz="0" w:space="0" w:color="auto"/>
            <w:left w:val="none" w:sz="0" w:space="0" w:color="auto"/>
            <w:bottom w:val="none" w:sz="0" w:space="0" w:color="auto"/>
            <w:right w:val="none" w:sz="0" w:space="0" w:color="auto"/>
          </w:divBdr>
        </w:div>
        <w:div w:id="319818338">
          <w:marLeft w:val="0"/>
          <w:marRight w:val="0"/>
          <w:marTop w:val="100"/>
          <w:marBottom w:val="100"/>
          <w:divBdr>
            <w:top w:val="none" w:sz="0" w:space="0" w:color="auto"/>
            <w:left w:val="none" w:sz="0" w:space="0" w:color="auto"/>
            <w:bottom w:val="none" w:sz="0" w:space="0" w:color="auto"/>
            <w:right w:val="none" w:sz="0" w:space="0" w:color="auto"/>
          </w:divBdr>
          <w:divsChild>
            <w:div w:id="1883323447">
              <w:marLeft w:val="0"/>
              <w:marRight w:val="0"/>
              <w:marTop w:val="0"/>
              <w:marBottom w:val="0"/>
              <w:divBdr>
                <w:top w:val="none" w:sz="0" w:space="0" w:color="auto"/>
                <w:left w:val="none" w:sz="0" w:space="0" w:color="auto"/>
                <w:bottom w:val="none" w:sz="0" w:space="0" w:color="auto"/>
                <w:right w:val="none" w:sz="0" w:space="0" w:color="auto"/>
              </w:divBdr>
              <w:divsChild>
                <w:div w:id="1703019400">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217351279">
              <w:marLeft w:val="0"/>
              <w:marRight w:val="0"/>
              <w:marTop w:val="0"/>
              <w:marBottom w:val="0"/>
              <w:divBdr>
                <w:top w:val="none" w:sz="0" w:space="0" w:color="auto"/>
                <w:left w:val="none" w:sz="0" w:space="0" w:color="auto"/>
                <w:bottom w:val="none" w:sz="0" w:space="0" w:color="auto"/>
                <w:right w:val="none" w:sz="0" w:space="0" w:color="auto"/>
              </w:divBdr>
              <w:divsChild>
                <w:div w:id="1898055486">
                  <w:marLeft w:val="0"/>
                  <w:marRight w:val="0"/>
                  <w:marTop w:val="0"/>
                  <w:marBottom w:val="0"/>
                  <w:divBdr>
                    <w:top w:val="none" w:sz="0" w:space="0" w:color="auto"/>
                    <w:left w:val="none" w:sz="0" w:space="0" w:color="auto"/>
                    <w:bottom w:val="none" w:sz="0" w:space="0" w:color="auto"/>
                    <w:right w:val="none" w:sz="0" w:space="0" w:color="auto"/>
                  </w:divBdr>
                </w:div>
                <w:div w:id="1478261348">
                  <w:marLeft w:val="0"/>
                  <w:marRight w:val="0"/>
                  <w:marTop w:val="0"/>
                  <w:marBottom w:val="0"/>
                  <w:divBdr>
                    <w:top w:val="none" w:sz="0" w:space="0" w:color="auto"/>
                    <w:left w:val="none" w:sz="0" w:space="0" w:color="auto"/>
                    <w:bottom w:val="none" w:sz="0" w:space="0" w:color="auto"/>
                    <w:right w:val="none" w:sz="0" w:space="0" w:color="auto"/>
                  </w:divBdr>
                </w:div>
                <w:div w:id="1949582324">
                  <w:marLeft w:val="0"/>
                  <w:marRight w:val="0"/>
                  <w:marTop w:val="0"/>
                  <w:marBottom w:val="0"/>
                  <w:divBdr>
                    <w:top w:val="none" w:sz="0" w:space="0" w:color="auto"/>
                    <w:left w:val="none" w:sz="0" w:space="0" w:color="auto"/>
                    <w:bottom w:val="none" w:sz="0" w:space="0" w:color="auto"/>
                    <w:right w:val="none" w:sz="0" w:space="0" w:color="auto"/>
                  </w:divBdr>
                </w:div>
                <w:div w:id="236982091">
                  <w:marLeft w:val="0"/>
                  <w:marRight w:val="0"/>
                  <w:marTop w:val="0"/>
                  <w:marBottom w:val="0"/>
                  <w:divBdr>
                    <w:top w:val="none" w:sz="0" w:space="0" w:color="auto"/>
                    <w:left w:val="none" w:sz="0" w:space="0" w:color="auto"/>
                    <w:bottom w:val="none" w:sz="0" w:space="0" w:color="auto"/>
                    <w:right w:val="none" w:sz="0" w:space="0" w:color="auto"/>
                  </w:divBdr>
                </w:div>
              </w:divsChild>
            </w:div>
            <w:div w:id="1047297293">
              <w:marLeft w:val="0"/>
              <w:marRight w:val="0"/>
              <w:marTop w:val="0"/>
              <w:marBottom w:val="0"/>
              <w:divBdr>
                <w:top w:val="none" w:sz="0" w:space="0" w:color="auto"/>
                <w:left w:val="none" w:sz="0" w:space="0" w:color="auto"/>
                <w:bottom w:val="none" w:sz="0" w:space="0" w:color="auto"/>
                <w:right w:val="none" w:sz="0" w:space="0" w:color="auto"/>
              </w:divBdr>
              <w:divsChild>
                <w:div w:id="1210609006">
                  <w:marLeft w:val="0"/>
                  <w:marRight w:val="0"/>
                  <w:marTop w:val="0"/>
                  <w:marBottom w:val="0"/>
                  <w:divBdr>
                    <w:top w:val="none" w:sz="0" w:space="0" w:color="auto"/>
                    <w:left w:val="none" w:sz="0" w:space="0" w:color="auto"/>
                    <w:bottom w:val="none" w:sz="0" w:space="0" w:color="auto"/>
                    <w:right w:val="none" w:sz="0" w:space="0" w:color="auto"/>
                  </w:divBdr>
                  <w:divsChild>
                    <w:div w:id="12540514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9211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mersin üniversitesi</dc:creator>
  <cp:keywords/>
  <dc:description/>
  <cp:lastModifiedBy>user001</cp:lastModifiedBy>
  <cp:revision>2</cp:revision>
  <dcterms:created xsi:type="dcterms:W3CDTF">2024-12-19T08:32:00Z</dcterms:created>
  <dcterms:modified xsi:type="dcterms:W3CDTF">2024-12-19T08:32:00Z</dcterms:modified>
</cp:coreProperties>
</file>