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07A" w:rsidRPr="007D007A" w:rsidRDefault="007D007A" w:rsidP="007D007A">
      <w:pPr>
        <w:pBdr>
          <w:bottom w:val="single" w:sz="6" w:space="1" w:color="auto"/>
        </w:pBdr>
        <w:spacing w:after="0" w:line="240" w:lineRule="auto"/>
        <w:jc w:val="center"/>
        <w:rPr>
          <w:rFonts w:ascii="Arial" w:eastAsia="Times New Roman" w:hAnsi="Arial" w:cs="Arial"/>
          <w:vanish/>
          <w:sz w:val="16"/>
          <w:szCs w:val="16"/>
          <w:lang w:eastAsia="tr-TR"/>
        </w:rPr>
      </w:pPr>
      <w:r w:rsidRPr="007D007A">
        <w:rPr>
          <w:rFonts w:ascii="Arial" w:eastAsia="Times New Roman" w:hAnsi="Arial" w:cs="Arial"/>
          <w:vanish/>
          <w:sz w:val="16"/>
          <w:szCs w:val="16"/>
          <w:lang w:eastAsia="tr-TR"/>
        </w:rPr>
        <w:t>Formun Üstü</w:t>
      </w:r>
    </w:p>
    <w:p w:rsidR="007D007A" w:rsidRPr="007D007A" w:rsidRDefault="007D007A" w:rsidP="007D007A">
      <w:pPr>
        <w:shd w:val="clear" w:color="auto" w:fill="FFFFFF"/>
        <w:spacing w:after="0" w:line="300" w:lineRule="atLeast"/>
        <w:jc w:val="center"/>
        <w:rPr>
          <w:rFonts w:ascii="Arial" w:eastAsia="Times New Roman" w:hAnsi="Arial" w:cs="Arial"/>
          <w:vanish/>
          <w:color w:val="1C283D"/>
          <w:sz w:val="15"/>
          <w:szCs w:val="15"/>
          <w:lang w:eastAsia="tr-TR"/>
        </w:rPr>
      </w:pPr>
      <w:r w:rsidRPr="007D007A">
        <w:rPr>
          <w:rFonts w:ascii="Arial" w:eastAsia="Times New Roman" w:hAnsi="Arial" w:cs="Arial"/>
          <w:noProof/>
          <w:vanish/>
          <w:color w:val="1C283D"/>
          <w:sz w:val="15"/>
          <w:szCs w:val="15"/>
          <w:lang w:eastAsia="tr-TR"/>
        </w:rPr>
        <w:drawing>
          <wp:inline distT="0" distB="0" distL="0" distR="0" wp14:anchorId="4714A28B" wp14:editId="10F51424">
            <wp:extent cx="142875" cy="142875"/>
            <wp:effectExtent l="0" t="0" r="9525" b="9525"/>
            <wp:docPr id="98" name="Resim 98"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Scroll u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7D007A" w:rsidRPr="007D007A" w:rsidRDefault="007D007A" w:rsidP="007D007A">
      <w:pPr>
        <w:shd w:val="clear" w:color="auto" w:fill="FFFFFF"/>
        <w:spacing w:after="100" w:line="300" w:lineRule="atLeast"/>
        <w:jc w:val="center"/>
        <w:rPr>
          <w:rFonts w:ascii="Arial" w:eastAsia="Times New Roman" w:hAnsi="Arial" w:cs="Arial"/>
          <w:vanish/>
          <w:color w:val="1C283D"/>
          <w:sz w:val="15"/>
          <w:szCs w:val="15"/>
          <w:lang w:eastAsia="tr-TR"/>
        </w:rPr>
      </w:pPr>
      <w:r w:rsidRPr="007D007A">
        <w:rPr>
          <w:rFonts w:ascii="Arial" w:eastAsia="Times New Roman" w:hAnsi="Arial" w:cs="Arial"/>
          <w:noProof/>
          <w:vanish/>
          <w:color w:val="1C283D"/>
          <w:sz w:val="15"/>
          <w:szCs w:val="15"/>
          <w:lang w:eastAsia="tr-TR"/>
        </w:rPr>
        <w:drawing>
          <wp:inline distT="0" distB="0" distL="0" distR="0" wp14:anchorId="7DAC821D" wp14:editId="59E8BEBE">
            <wp:extent cx="142875" cy="142875"/>
            <wp:effectExtent l="0" t="0" r="9525" b="9525"/>
            <wp:docPr id="99" name="Resim 99"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croll dow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072"/>
      </w:tblGrid>
      <w:tr w:rsidR="007D007A" w:rsidRPr="007D007A" w:rsidTr="007D007A">
        <w:trPr>
          <w:tblCellSpacing w:w="0" w:type="dxa"/>
          <w:hidden/>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7D007A" w:rsidRPr="007D007A">
              <w:trPr>
                <w:tblCellSpacing w:w="15" w:type="dxa"/>
                <w:hidden/>
              </w:trPr>
              <w:tc>
                <w:tcPr>
                  <w:tcW w:w="0" w:type="auto"/>
                  <w:shd w:val="clear" w:color="auto" w:fill="FFFFFF"/>
                  <w:vAlign w:val="center"/>
                  <w:hideMark/>
                </w:tcPr>
                <w:p w:rsidR="007D007A" w:rsidRPr="007D007A" w:rsidRDefault="007D007A" w:rsidP="007D007A">
                  <w:pPr>
                    <w:spacing w:after="0" w:line="300" w:lineRule="atLeast"/>
                    <w:jc w:val="center"/>
                    <w:rPr>
                      <w:rFonts w:ascii="Arial" w:eastAsia="Times New Roman" w:hAnsi="Arial" w:cs="Arial"/>
                      <w:vanish/>
                      <w:color w:val="1C283D"/>
                      <w:sz w:val="15"/>
                      <w:szCs w:val="15"/>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7D007A" w:rsidRPr="007D007A">
                    <w:trPr>
                      <w:tblCellSpacing w:w="15" w:type="dxa"/>
                      <w:jc w:val="center"/>
                    </w:trPr>
                    <w:tc>
                      <w:tcPr>
                        <w:tcW w:w="0" w:type="auto"/>
                        <w:vAlign w:val="center"/>
                        <w:hideMark/>
                      </w:tcPr>
                      <w:p w:rsidR="007D007A" w:rsidRDefault="007D007A" w:rsidP="007D007A">
                        <w:pPr>
                          <w:spacing w:after="240" w:line="300" w:lineRule="atLeast"/>
                          <w:rPr>
                            <w:rFonts w:ascii="Arial" w:eastAsia="Times New Roman" w:hAnsi="Arial" w:cs="Arial"/>
                            <w:color w:val="1C283D"/>
                            <w:sz w:val="15"/>
                            <w:szCs w:val="15"/>
                            <w:lang w:eastAsia="tr-TR"/>
                          </w:rPr>
                        </w:pPr>
                        <w:bookmarkStart w:id="0" w:name="_GoBack"/>
                        <w:bookmarkEnd w:id="0"/>
                        <w:r w:rsidRPr="007D007A">
                          <w:rPr>
                            <w:rFonts w:ascii="Arial" w:eastAsia="Times New Roman" w:hAnsi="Arial" w:cs="Arial"/>
                            <w:color w:val="1C283D"/>
                            <w:sz w:val="15"/>
                            <w:szCs w:val="15"/>
                            <w:lang w:eastAsia="tr-TR"/>
                          </w:rPr>
                          <w:t>Resmî Gazete Tarihi: 03.03.1983 Resmî Gazete Sayısı: 17976</w:t>
                        </w:r>
                      </w:p>
                      <w:p w:rsidR="0015509D" w:rsidRPr="007D007A" w:rsidRDefault="0015509D" w:rsidP="007D007A">
                        <w:pPr>
                          <w:spacing w:after="240" w:line="300" w:lineRule="atLeast"/>
                          <w:rPr>
                            <w:rFonts w:ascii="Arial" w:eastAsia="Times New Roman" w:hAnsi="Arial" w:cs="Arial"/>
                            <w:color w:val="1C283D"/>
                            <w:sz w:val="15"/>
                            <w:szCs w:val="15"/>
                            <w:lang w:eastAsia="tr-TR"/>
                          </w:rPr>
                        </w:pPr>
                      </w:p>
                      <w:p w:rsidR="007D007A" w:rsidRPr="007D007A" w:rsidRDefault="0015509D" w:rsidP="007D007A">
                        <w:pPr>
                          <w:spacing w:after="0" w:line="300" w:lineRule="atLeast"/>
                          <w:ind w:firstLine="284"/>
                          <w:jc w:val="center"/>
                          <w:rPr>
                            <w:rFonts w:ascii="Times New Roman" w:eastAsia="Times New Roman" w:hAnsi="Times New Roman" w:cs="Times New Roman"/>
                            <w:color w:val="1C283D"/>
                            <w:sz w:val="24"/>
                            <w:szCs w:val="24"/>
                            <w:lang w:eastAsia="tr-TR"/>
                          </w:rPr>
                        </w:pPr>
                        <w:r>
                          <w:rPr>
                            <w:rFonts w:ascii="Calibri" w:eastAsia="Times New Roman" w:hAnsi="Calibri" w:cs="Calibri"/>
                            <w:b/>
                            <w:bCs/>
                            <w:color w:val="1C283D"/>
                            <w:lang w:eastAsia="tr-TR"/>
                          </w:rPr>
                          <w:t>LİSANS</w:t>
                        </w:r>
                        <w:r w:rsidR="007D007A" w:rsidRPr="007D007A">
                          <w:rPr>
                            <w:rFonts w:ascii="Calibri" w:eastAsia="Times New Roman" w:hAnsi="Calibri" w:cs="Calibri"/>
                            <w:b/>
                            <w:bCs/>
                            <w:color w:val="1C283D"/>
                            <w:lang w:eastAsia="tr-TR"/>
                          </w:rPr>
                          <w:t>ÜSTÜ EĞİTİM-ÖĞRETİM ENSTİTÜLERİNİN TEŞKİLÂT VE İŞLEYİŞ YÖNETMELİĞİ</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Amaç:</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1 –</w:t>
                        </w:r>
                        <w:r w:rsidRPr="007D007A">
                          <w:rPr>
                            <w:rFonts w:ascii="Calibri" w:eastAsia="Times New Roman" w:hAnsi="Calibri" w:cs="Calibri"/>
                            <w:color w:val="1C283D"/>
                            <w:lang w:eastAsia="tr-TR"/>
                          </w:rPr>
                          <w:t xml:space="preserve"> Bu Yönetmelik enstitülerin eğitim, öğretim, işletme ve </w:t>
                        </w:r>
                        <w:proofErr w:type="spellStart"/>
                        <w:r w:rsidRPr="007D007A">
                          <w:rPr>
                            <w:rFonts w:ascii="Calibri" w:eastAsia="Times New Roman" w:hAnsi="Calibri" w:cs="Calibri"/>
                            <w:color w:val="1C283D"/>
                            <w:lang w:eastAsia="tr-TR"/>
                          </w:rPr>
                          <w:t>teşkilâtlanmalarında</w:t>
                        </w:r>
                        <w:proofErr w:type="spellEnd"/>
                        <w:r w:rsidRPr="007D007A">
                          <w:rPr>
                            <w:rFonts w:ascii="Calibri" w:eastAsia="Times New Roman" w:hAnsi="Calibri" w:cs="Calibri"/>
                            <w:color w:val="1C283D"/>
                            <w:lang w:eastAsia="tr-TR"/>
                          </w:rPr>
                          <w:t xml:space="preserve"> beraberliği sağlayarak uygulamalar arasındaki birliği temin amacı güder.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7D007A">
                          <w:rPr>
                            <w:rFonts w:ascii="Calibri" w:eastAsia="Times New Roman" w:hAnsi="Calibri" w:cs="Calibri"/>
                            <w:b/>
                            <w:bCs/>
                            <w:color w:val="1C283D"/>
                            <w:lang w:eastAsia="tr-TR"/>
                          </w:rPr>
                          <w:t>Kapsam :</w:t>
                        </w:r>
                        <w:proofErr w:type="gramEnd"/>
                        <w:r w:rsidRPr="007D007A">
                          <w:rPr>
                            <w:rFonts w:ascii="Calibri" w:eastAsia="Times New Roman" w:hAnsi="Calibri" w:cs="Calibri"/>
                            <w:b/>
                            <w:bCs/>
                            <w:color w:val="1C283D"/>
                            <w:lang w:eastAsia="tr-TR"/>
                          </w:rPr>
                          <w:t xml:space="preserve">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2 –</w:t>
                        </w:r>
                        <w:r w:rsidRPr="007D007A">
                          <w:rPr>
                            <w:rFonts w:ascii="Calibri" w:eastAsia="Times New Roman" w:hAnsi="Calibri" w:cs="Calibri"/>
                            <w:color w:val="1C283D"/>
                            <w:lang w:eastAsia="tr-TR"/>
                          </w:rPr>
                          <w:t xml:space="preserve"> Bu Yönetmelik rektörlüklere ve dekanlara bağlı bütün araştırma ve eğitim-öğretim enstitülerinin işleyiş ve </w:t>
                        </w:r>
                        <w:proofErr w:type="spellStart"/>
                        <w:r w:rsidRPr="007D007A">
                          <w:rPr>
                            <w:rFonts w:ascii="Calibri" w:eastAsia="Times New Roman" w:hAnsi="Calibri" w:cs="Calibri"/>
                            <w:color w:val="1C283D"/>
                            <w:lang w:eastAsia="tr-TR"/>
                          </w:rPr>
                          <w:t>teşkilâtlanmasını</w:t>
                        </w:r>
                        <w:proofErr w:type="spellEnd"/>
                        <w:r w:rsidRPr="007D007A">
                          <w:rPr>
                            <w:rFonts w:ascii="Calibri" w:eastAsia="Times New Roman" w:hAnsi="Calibri" w:cs="Calibri"/>
                            <w:color w:val="1C283D"/>
                            <w:lang w:eastAsia="tr-TR"/>
                          </w:rPr>
                          <w:t xml:space="preserve"> belirler.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7D007A">
                          <w:rPr>
                            <w:rFonts w:ascii="Calibri" w:eastAsia="Times New Roman" w:hAnsi="Calibri" w:cs="Calibri"/>
                            <w:b/>
                            <w:bCs/>
                            <w:color w:val="1C283D"/>
                            <w:lang w:eastAsia="tr-TR"/>
                          </w:rPr>
                          <w:t>Teşkilât :</w:t>
                        </w:r>
                        <w:proofErr w:type="gramEnd"/>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3 –</w:t>
                        </w:r>
                        <w:r w:rsidRPr="007D007A">
                          <w:rPr>
                            <w:rFonts w:ascii="Calibri" w:eastAsia="Times New Roman" w:hAnsi="Calibri" w:cs="Calibri"/>
                            <w:color w:val="1C283D"/>
                            <w:lang w:eastAsia="tr-TR"/>
                          </w:rPr>
                          <w:t xml:space="preserve"> 2547 sayılı Kanun'un 19. maddesi gereğince kurulan enstitülerin organları, bu organların seçimleri, görev süreleri, yetki ve sorumlulukları aşağıda belirlenmiştir.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a) Enstitünün organları, Enstitü Müdürü, Enstitü Kurulu ve Enstitü Yönetim Kuruludur.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b) Enstitü Müdürü, fakültelerde üç yıl için ilgili dekanın önerisi üzerine rektör </w:t>
                        </w:r>
                        <w:proofErr w:type="spellStart"/>
                        <w:r w:rsidRPr="007D007A">
                          <w:rPr>
                            <w:rFonts w:ascii="Calibri" w:eastAsia="Times New Roman" w:hAnsi="Calibri" w:cs="Calibri"/>
                            <w:color w:val="1C283D"/>
                            <w:lang w:eastAsia="tr-TR"/>
                          </w:rPr>
                          <w:t>tarafindan</w:t>
                        </w:r>
                        <w:proofErr w:type="spellEnd"/>
                        <w:r w:rsidRPr="007D007A">
                          <w:rPr>
                            <w:rFonts w:ascii="Calibri" w:eastAsia="Times New Roman" w:hAnsi="Calibri" w:cs="Calibri"/>
                            <w:color w:val="1C283D"/>
                            <w:lang w:eastAsia="tr-TR"/>
                          </w:rPr>
                          <w:t xml:space="preserve"> atanır. Rektörlüğe bağlı enstitülerde bu atama doğrudan rektör tarafından yapılır. Süresi biten müdür tekrar atanabilir. Müdürün, enstitüde görevli aylıklı öğretim elemanları arasından üç yıl için atayacağı en çok iki yardımcısı bulunur.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Müdüre vekâlet etme veya müdürlüğün boşalması hallerinde yapılacak işlem, dekanlarda olduğu gibidir. Enstitü Müdürü, 2547 sayılı Kanunla dekanlara verilmiş olan görevleri enstitü bakımından yerine getirir.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c) Enstitü Kurulu, müdürün başkanlığında, müdür yardımcıları ve enstitüyü oluşturan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başkanlarından oluşur.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d) Enstitü Yönetim Kurulu, müdürün başkanlığında, müdür yardımcıları, müdürce gösterilecek altı aday arasından Enstitü Kurulu tarafından üç yıl için seçilecek üç öğretim üyesinden oluşur.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e) Enstitü Kurulu ve Enstitü Yönetim Kurulu, 2547 sayılı Kanunla Fakülte Kurulu ve Fakülte Yönetim Kuruluna verilmiş görevleri enstitü bakımından yerine getirirler.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4 – (</w:t>
                        </w:r>
                        <w:proofErr w:type="gramStart"/>
                        <w:r w:rsidRPr="007D007A">
                          <w:rPr>
                            <w:rFonts w:ascii="Calibri" w:eastAsia="Times New Roman" w:hAnsi="Calibri" w:cs="Calibri"/>
                            <w:b/>
                            <w:bCs/>
                            <w:color w:val="1C283D"/>
                            <w:lang w:eastAsia="tr-TR"/>
                          </w:rPr>
                          <w:t>Değişik:RG</w:t>
                        </w:r>
                        <w:proofErr w:type="gramEnd"/>
                        <w:r w:rsidRPr="007D007A">
                          <w:rPr>
                            <w:rFonts w:ascii="Calibri" w:eastAsia="Times New Roman" w:hAnsi="Calibri" w:cs="Calibri"/>
                            <w:b/>
                            <w:bCs/>
                            <w:color w:val="1C283D"/>
                            <w:lang w:eastAsia="tr-TR"/>
                          </w:rPr>
                          <w:t xml:space="preserve">-18/3/1989-20112)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Bir programda, lisansüstü eğitim-öğretim yapılabilmesi için, o programla ilgili anabilim veya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dalında lisans eğitim-öğretimi yapılmakta olması şart değildir.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Lisansüstü eğitim-öğretime rektörün önerisi üzerine Yükseköğretim Kurulu karar verir.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5 –</w:t>
                        </w:r>
                        <w:r w:rsidRPr="007D007A">
                          <w:rPr>
                            <w:rFonts w:ascii="Calibri" w:eastAsia="Times New Roman" w:hAnsi="Calibri" w:cs="Calibri"/>
                            <w:color w:val="1C283D"/>
                            <w:lang w:eastAsia="tr-TR"/>
                          </w:rPr>
                          <w:t xml:space="preserve"> 2547 sayılı Kanun'un 19. maddesi hükmü gereğince, rektörlüklere bağlı enstitülerin yapılarını oluşturan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aşağıdaki şekilde tespit edilir.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a) </w:t>
                        </w:r>
                        <w:r w:rsidRPr="007D007A">
                          <w:rPr>
                            <w:rFonts w:ascii="Calibri" w:eastAsia="Times New Roman" w:hAnsi="Calibri" w:cs="Calibri"/>
                            <w:b/>
                            <w:bCs/>
                            <w:color w:val="1C283D"/>
                            <w:lang w:eastAsia="tr-TR"/>
                          </w:rPr>
                          <w:t>(</w:t>
                        </w:r>
                        <w:proofErr w:type="gramStart"/>
                        <w:r w:rsidRPr="007D007A">
                          <w:rPr>
                            <w:rFonts w:ascii="Calibri" w:eastAsia="Times New Roman" w:hAnsi="Calibri" w:cs="Calibri"/>
                            <w:b/>
                            <w:bCs/>
                            <w:color w:val="1C283D"/>
                            <w:lang w:eastAsia="tr-TR"/>
                          </w:rPr>
                          <w:t>Değişik:RG</w:t>
                        </w:r>
                        <w:proofErr w:type="gramEnd"/>
                        <w:r w:rsidRPr="007D007A">
                          <w:rPr>
                            <w:rFonts w:ascii="Calibri" w:eastAsia="Times New Roman" w:hAnsi="Calibri" w:cs="Calibri"/>
                            <w:b/>
                            <w:bCs/>
                            <w:color w:val="1C283D"/>
                            <w:lang w:eastAsia="tr-TR"/>
                          </w:rPr>
                          <w:t>-28/10/1994-22095)</w:t>
                        </w:r>
                        <w:r w:rsidRPr="007D007A">
                          <w:rPr>
                            <w:rFonts w:ascii="Calibri" w:eastAsia="Times New Roman" w:hAnsi="Calibri" w:cs="Calibri"/>
                            <w:color w:val="1C283D"/>
                            <w:lang w:eastAsia="tr-TR"/>
                          </w:rPr>
                          <w:t xml:space="preserve"> Fen Bilimleri Enstitüsünün enstitü anabilim dalları, o üniversitede mevcut olan Fen, Mühendislik, Mimarlık, Mühendislik-Mimarlık, Gemi İnşaatı ve Deniz Bilimleri, Maden, İnşaat, Elektrik-Elektronik, Makina, Kimya-</w:t>
                        </w:r>
                        <w:proofErr w:type="spellStart"/>
                        <w:r w:rsidRPr="007D007A">
                          <w:rPr>
                            <w:rFonts w:ascii="Calibri" w:eastAsia="Times New Roman" w:hAnsi="Calibri" w:cs="Calibri"/>
                            <w:color w:val="1C283D"/>
                            <w:lang w:eastAsia="tr-TR"/>
                          </w:rPr>
                          <w:t>Metalurji</w:t>
                        </w:r>
                        <w:proofErr w:type="spellEnd"/>
                        <w:r w:rsidRPr="007D007A">
                          <w:rPr>
                            <w:rFonts w:ascii="Calibri" w:eastAsia="Times New Roman" w:hAnsi="Calibri" w:cs="Calibri"/>
                            <w:color w:val="1C283D"/>
                            <w:lang w:eastAsia="tr-TR"/>
                          </w:rPr>
                          <w:t xml:space="preserve">, Uçak ve Uzay Bilimleri, Ziraat, Orman, Su Ürünleri, Denizcilik Fakültelerinin bölümleri; Fen-Edebiyat, Endüstriyel Sanatlar Eğitim ile Eğitim Fakültelerinin Fen alanındaki bölümleri, Mesleki Eğitim Fakültelerinin Teknoloji Eğitimi bölümüyle aynı adları taşırlar. Fakültelerin bölüm başkanları aynı zamanda enstitü anabilim dalının da başkanıdırlar.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b) </w:t>
                        </w:r>
                        <w:r w:rsidRPr="007D007A">
                          <w:rPr>
                            <w:rFonts w:ascii="Calibri" w:eastAsia="Times New Roman" w:hAnsi="Calibri" w:cs="Calibri"/>
                            <w:b/>
                            <w:bCs/>
                            <w:color w:val="1C283D"/>
                            <w:lang w:eastAsia="tr-TR"/>
                          </w:rPr>
                          <w:t>(</w:t>
                        </w:r>
                        <w:proofErr w:type="gramStart"/>
                        <w:r w:rsidRPr="007D007A">
                          <w:rPr>
                            <w:rFonts w:ascii="Calibri" w:eastAsia="Times New Roman" w:hAnsi="Calibri" w:cs="Calibri"/>
                            <w:b/>
                            <w:bCs/>
                            <w:color w:val="1C283D"/>
                            <w:lang w:eastAsia="tr-TR"/>
                          </w:rPr>
                          <w:t>Değişik:RG</w:t>
                        </w:r>
                        <w:proofErr w:type="gramEnd"/>
                        <w:r w:rsidRPr="007D007A">
                          <w:rPr>
                            <w:rFonts w:ascii="Calibri" w:eastAsia="Times New Roman" w:hAnsi="Calibri" w:cs="Calibri"/>
                            <w:b/>
                            <w:bCs/>
                            <w:color w:val="1C283D"/>
                            <w:lang w:eastAsia="tr-TR"/>
                          </w:rPr>
                          <w:t>-28/10/1994-22095)</w:t>
                        </w:r>
                        <w:r w:rsidRPr="007D007A">
                          <w:rPr>
                            <w:rFonts w:ascii="Calibri" w:eastAsia="Times New Roman" w:hAnsi="Calibri" w:cs="Calibri"/>
                            <w:color w:val="1C283D"/>
                            <w:lang w:eastAsia="tr-TR"/>
                          </w:rPr>
                          <w:t xml:space="preserve"> Sosyal Bilimler Enstitüsünün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o üniversitede mevcut olan Edebiyat, İktisat, İşletme, İktisadi ve İdari Bilimler, Siyasal Bilgiler, Hukuk, İlahiyat, Dil ve Tarih-Coğrafya, Güzel Sanatlar, İletişim, Mesleki Yaygın Eğitim, Ticaret ve Turizm Eğitimi, Eğitim Bilimleri Fakülteleri ile Konservatuvarların bölümleri; Fen-Edebiyat, </w:t>
                        </w:r>
                        <w:r w:rsidRPr="007D007A">
                          <w:rPr>
                            <w:rFonts w:ascii="Calibri" w:eastAsia="Times New Roman" w:hAnsi="Calibri" w:cs="Calibri"/>
                            <w:color w:val="1C283D"/>
                            <w:lang w:eastAsia="tr-TR"/>
                          </w:rPr>
                          <w:lastRenderedPageBreak/>
                          <w:t xml:space="preserve">İnsanî Bilimler ve Edebiyat, Mesleki Eğitim ve Eğitim Fakültelerinin Fen alanı dışındaki bölümleriyle </w:t>
                        </w:r>
                        <w:proofErr w:type="gramStart"/>
                        <w:r w:rsidRPr="007D007A">
                          <w:rPr>
                            <w:rFonts w:ascii="Calibri" w:eastAsia="Times New Roman" w:hAnsi="Calibri" w:cs="Calibri"/>
                            <w:color w:val="1C283D"/>
                            <w:lang w:eastAsia="tr-TR"/>
                          </w:rPr>
                          <w:t>aynı</w:t>
                        </w:r>
                        <w:proofErr w:type="gramEnd"/>
                        <w:r w:rsidRPr="007D007A">
                          <w:rPr>
                            <w:rFonts w:ascii="Calibri" w:eastAsia="Times New Roman" w:hAnsi="Calibri" w:cs="Calibri"/>
                            <w:color w:val="1C283D"/>
                            <w:lang w:eastAsia="tr-TR"/>
                          </w:rPr>
                          <w:t xml:space="preserve"> adları taşırlar. Fakültelerin ve Konservatuvarların bölüm başkanları, aynı zamanda enstitü anabilim veya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dalının da başkanıdırlar.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c) </w:t>
                        </w:r>
                        <w:r w:rsidRPr="007D007A">
                          <w:rPr>
                            <w:rFonts w:ascii="Calibri" w:eastAsia="Times New Roman" w:hAnsi="Calibri" w:cs="Calibri"/>
                            <w:b/>
                            <w:bCs/>
                            <w:color w:val="1C283D"/>
                            <w:lang w:eastAsia="tr-TR"/>
                          </w:rPr>
                          <w:t>(</w:t>
                        </w:r>
                        <w:proofErr w:type="gramStart"/>
                        <w:r w:rsidRPr="007D007A">
                          <w:rPr>
                            <w:rFonts w:ascii="Calibri" w:eastAsia="Times New Roman" w:hAnsi="Calibri" w:cs="Calibri"/>
                            <w:b/>
                            <w:bCs/>
                            <w:color w:val="1C283D"/>
                            <w:lang w:eastAsia="tr-TR"/>
                          </w:rPr>
                          <w:t>Değişik:RG</w:t>
                        </w:r>
                        <w:proofErr w:type="gramEnd"/>
                        <w:r w:rsidRPr="007D007A">
                          <w:rPr>
                            <w:rFonts w:ascii="Calibri" w:eastAsia="Times New Roman" w:hAnsi="Calibri" w:cs="Calibri"/>
                            <w:b/>
                            <w:bCs/>
                            <w:color w:val="1C283D"/>
                            <w:lang w:eastAsia="tr-TR"/>
                          </w:rPr>
                          <w:t>-4/7/1988-19862)</w:t>
                        </w:r>
                        <w:r w:rsidRPr="007D007A">
                          <w:rPr>
                            <w:rFonts w:ascii="Calibri" w:eastAsia="Times New Roman" w:hAnsi="Calibri" w:cs="Calibri"/>
                            <w:color w:val="1C283D"/>
                            <w:lang w:eastAsia="tr-TR"/>
                          </w:rPr>
                          <w:t xml:space="preserve"> Sağlık Bilimleri Enstitüsünün enstitü anabilim dalları, o üniversitede mevcut olan Tıp, Diş Hekimliği, Eczacılık ve Veteriner Fakültelerinin eğitim yapılan anabilim dalları ile Eğitim Fakültelerinin beden eğitimi ve spor bölümleridir. Bu anabilim dallarının başkanları ile beden eğilimi ve spor bölüm başkanları aynı zamanda Sağlık Bilimleri Enstitüsünün anabilim dallarının da başkanlarıdır.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d) Fen Bilimleri, Sosyal Bilimler ve Sağlık Bilimleri Enstitülerinde, rektörün önerisi ve Yükseköğretim Kurulu kararı ile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öğretim yapmak üzere, bir fakülte, bölüm veya anabilim dalından değişik bir ad taşıyan, </w:t>
                        </w:r>
                        <w:proofErr w:type="spellStart"/>
                        <w:r w:rsidRPr="007D007A">
                          <w:rPr>
                            <w:rFonts w:ascii="Calibri" w:eastAsia="Times New Roman" w:hAnsi="Calibri" w:cs="Calibri"/>
                            <w:color w:val="1C283D"/>
                            <w:lang w:eastAsia="tr-TR"/>
                          </w:rPr>
                          <w:t>disiplinlerarası</w:t>
                        </w:r>
                        <w:proofErr w:type="spellEnd"/>
                        <w:r w:rsidRPr="007D007A">
                          <w:rPr>
                            <w:rFonts w:ascii="Calibri" w:eastAsia="Times New Roman" w:hAnsi="Calibri" w:cs="Calibri"/>
                            <w:color w:val="1C283D"/>
                            <w:lang w:eastAsia="tr-TR"/>
                          </w:rPr>
                          <w:t xml:space="preserve"> bir enstitü anabilim dalı kurulabilir. Bu tür bir enstitü anabilim dalının başkanı, ilgili dekanların görüşleri alınarak, Enstitü Müdürü tarafından atanır.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e) </w:t>
                        </w:r>
                        <w:r w:rsidRPr="007D007A">
                          <w:rPr>
                            <w:rFonts w:ascii="Calibri" w:eastAsia="Times New Roman" w:hAnsi="Calibri" w:cs="Calibri"/>
                            <w:b/>
                            <w:bCs/>
                            <w:color w:val="1C283D"/>
                            <w:lang w:eastAsia="tr-TR"/>
                          </w:rPr>
                          <w:t>(</w:t>
                        </w:r>
                        <w:proofErr w:type="gramStart"/>
                        <w:r w:rsidRPr="007D007A">
                          <w:rPr>
                            <w:rFonts w:ascii="Calibri" w:eastAsia="Times New Roman" w:hAnsi="Calibri" w:cs="Calibri"/>
                            <w:b/>
                            <w:bCs/>
                            <w:color w:val="1C283D"/>
                            <w:lang w:eastAsia="tr-TR"/>
                          </w:rPr>
                          <w:t>Değişik:RG</w:t>
                        </w:r>
                        <w:proofErr w:type="gramEnd"/>
                        <w:r w:rsidRPr="007D007A">
                          <w:rPr>
                            <w:rFonts w:ascii="Calibri" w:eastAsia="Times New Roman" w:hAnsi="Calibri" w:cs="Calibri"/>
                            <w:b/>
                            <w:bCs/>
                            <w:color w:val="1C283D"/>
                            <w:lang w:eastAsia="tr-TR"/>
                          </w:rPr>
                          <w:t>-4/7/1988-19862)</w:t>
                        </w:r>
                        <w:r w:rsidRPr="007D007A">
                          <w:rPr>
                            <w:rFonts w:ascii="Calibri" w:eastAsia="Times New Roman" w:hAnsi="Calibri" w:cs="Calibri"/>
                            <w:color w:val="1C283D"/>
                            <w:lang w:eastAsia="tr-TR"/>
                          </w:rPr>
                          <w:t xml:space="preserve"> Fen Bilimleri, Sosyal Bilimler ve Sağlık Bilimleri Enstitüleri dışında kalan, rektörlüklere bağlı enstitülerin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bu enstitülerin özellikleri dikkate alınarak, Yükseköğretim Kurulu tarafından tespit edilir. Bu enstitülerde,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başkanları Enstitü Müdürü tarafından atanır.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 xml:space="preserve">(Ek </w:t>
                        </w:r>
                        <w:proofErr w:type="gramStart"/>
                        <w:r w:rsidRPr="007D007A">
                          <w:rPr>
                            <w:rFonts w:ascii="Calibri" w:eastAsia="Times New Roman" w:hAnsi="Calibri" w:cs="Calibri"/>
                            <w:b/>
                            <w:bCs/>
                            <w:color w:val="1C283D"/>
                            <w:lang w:eastAsia="tr-TR"/>
                          </w:rPr>
                          <w:t>fıkra:RG</w:t>
                        </w:r>
                        <w:proofErr w:type="gramEnd"/>
                        <w:r w:rsidRPr="007D007A">
                          <w:rPr>
                            <w:rFonts w:ascii="Calibri" w:eastAsia="Times New Roman" w:hAnsi="Calibri" w:cs="Calibri"/>
                            <w:b/>
                            <w:bCs/>
                            <w:color w:val="1C283D"/>
                            <w:lang w:eastAsia="tr-TR"/>
                          </w:rPr>
                          <w:t>-4/7/1988-19862)</w:t>
                        </w:r>
                        <w:r w:rsidRPr="007D007A">
                          <w:rPr>
                            <w:rFonts w:ascii="Calibri" w:eastAsia="Times New Roman" w:hAnsi="Calibri" w:cs="Calibri"/>
                            <w:color w:val="1C283D"/>
                            <w:lang w:eastAsia="tr-TR"/>
                          </w:rPr>
                          <w:t xml:space="preserve"> Enstitü anabilim dalı başkanları, fakültelerde bölüm başkanlarına verilen görevleri enstitü bakımından yerine getirirler.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Madde 6 – Bir fakülteye bağlı yüksekokullarda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çalışmalar, fakültenin tabi olduğu statü içerisinde ve fakültenin lisans üstü eğitiminin devam ettiği enstitüde yapılır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 xml:space="preserve">(Değişik </w:t>
                        </w:r>
                        <w:proofErr w:type="gramStart"/>
                        <w:r w:rsidRPr="007D007A">
                          <w:rPr>
                            <w:rFonts w:ascii="Calibri" w:eastAsia="Times New Roman" w:hAnsi="Calibri" w:cs="Calibri"/>
                            <w:b/>
                            <w:bCs/>
                            <w:color w:val="1C283D"/>
                            <w:lang w:eastAsia="tr-TR"/>
                          </w:rPr>
                          <w:t>fıkra:RG</w:t>
                        </w:r>
                        <w:proofErr w:type="gramEnd"/>
                        <w:r w:rsidRPr="007D007A">
                          <w:rPr>
                            <w:rFonts w:ascii="Calibri" w:eastAsia="Times New Roman" w:hAnsi="Calibri" w:cs="Calibri"/>
                            <w:b/>
                            <w:bCs/>
                            <w:color w:val="1C283D"/>
                            <w:lang w:eastAsia="tr-TR"/>
                          </w:rPr>
                          <w:t>-28/10/1994-22095)</w:t>
                        </w:r>
                        <w:r w:rsidRPr="007D007A">
                          <w:rPr>
                            <w:rFonts w:ascii="Calibri" w:eastAsia="Times New Roman" w:hAnsi="Calibri" w:cs="Calibri"/>
                            <w:color w:val="1C283D"/>
                            <w:lang w:eastAsia="tr-TR"/>
                          </w:rPr>
                          <w:t xml:space="preserve"> Turizm İşletmeciliği ve Otelcilik Yüksekokulları, Sosyal Hizmetler Yüksekokulları mezunları Sosyal Bilimler Enstitülerinde; Sivil Havacılık Yüksekokulları, Tütün Eksperliği Yüksekokulları, Mesleki Teknoloji Yüksekokulları, Endüstriyel Sanatlar Yüksekokulları mezunları Fen Bilimleri Enstitülerinde; Fizik Tedavi ve Rehabilitasyon, Hemşirelik, Sağlık İdaresi, Sağlık Teknoloji, Ev Ekonomisi, Beden Eğitimi ve Spor, Hayvan Sağlığı Yüksekokulları mezunları Sağlık Bilimleri Enstitülerinde lisansüstü eğitim öğretim görebilirler. Bu yüksekokulların müdürleri veya yardımcıları bu alanlarda ilgili Enstitü anabilim dalı başkanı görevlerini de yürütürler.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7 – (</w:t>
                        </w:r>
                        <w:proofErr w:type="gramStart"/>
                        <w:r w:rsidRPr="007D007A">
                          <w:rPr>
                            <w:rFonts w:ascii="Calibri" w:eastAsia="Times New Roman" w:hAnsi="Calibri" w:cs="Calibri"/>
                            <w:b/>
                            <w:bCs/>
                            <w:color w:val="1C283D"/>
                            <w:lang w:eastAsia="tr-TR"/>
                          </w:rPr>
                          <w:t>Değişik:RG</w:t>
                        </w:r>
                        <w:proofErr w:type="gramEnd"/>
                        <w:r w:rsidRPr="007D007A">
                          <w:rPr>
                            <w:rFonts w:ascii="Calibri" w:eastAsia="Times New Roman" w:hAnsi="Calibri" w:cs="Calibri"/>
                            <w:b/>
                            <w:bCs/>
                            <w:color w:val="1C283D"/>
                            <w:lang w:eastAsia="tr-TR"/>
                          </w:rPr>
                          <w:t xml:space="preserve">-4/7/1988-19862)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Lisansüstü programlar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ile aynı adları taşırlar. Ancak, rektörün önerisi ve Yükseköğretim Kurulu kararı ile bir enstitü anabilim veya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dalında, o enstitü anabilim veya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dalından değişik bir ad taşıyan bir lisansüstü program da açılabilir.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Bir lisansüstü programı; yüksek lisans, doktora veya sanatta yeterlik unvanlarına yönelik belirli sayıda ve belirli muhteva ve adları taşıyan zorunlu ve seçmeli dersler ile doktora yeterlik sınavı, sanat yeterliği sınavı, tez, sanat eseri ve uygulamalardan oluşur.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Enstitülerce yürütülecek lisansüstü programların asgari muhtevaları, Üniversitelerarası Kurulda belirlenir.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7D007A">
                          <w:rPr>
                            <w:rFonts w:ascii="Calibri" w:eastAsia="Times New Roman" w:hAnsi="Calibri" w:cs="Calibri"/>
                            <w:b/>
                            <w:bCs/>
                            <w:color w:val="1C283D"/>
                            <w:lang w:eastAsia="tr-TR"/>
                          </w:rPr>
                          <w:t>İşleyiş :</w:t>
                        </w:r>
                        <w:proofErr w:type="gramEnd"/>
                        <w:r w:rsidRPr="007D007A">
                          <w:rPr>
                            <w:rFonts w:ascii="Calibri" w:eastAsia="Times New Roman" w:hAnsi="Calibri" w:cs="Calibri"/>
                            <w:b/>
                            <w:bCs/>
                            <w:color w:val="1C283D"/>
                            <w:lang w:eastAsia="tr-TR"/>
                          </w:rPr>
                          <w:t xml:space="preserve">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8 –</w:t>
                        </w:r>
                        <w:r w:rsidRPr="007D007A">
                          <w:rPr>
                            <w:rFonts w:ascii="Calibri" w:eastAsia="Times New Roman" w:hAnsi="Calibri" w:cs="Calibri"/>
                            <w:color w:val="1C283D"/>
                            <w:lang w:eastAsia="tr-TR"/>
                          </w:rPr>
                          <w:t xml:space="preserve"> </w:t>
                        </w:r>
                        <w:r w:rsidRPr="007D007A">
                          <w:rPr>
                            <w:rFonts w:ascii="Calibri" w:eastAsia="Times New Roman" w:hAnsi="Calibri" w:cs="Calibri"/>
                            <w:b/>
                            <w:bCs/>
                            <w:color w:val="1C283D"/>
                            <w:lang w:eastAsia="tr-TR"/>
                          </w:rPr>
                          <w:t xml:space="preserve">(Değişik </w:t>
                        </w:r>
                        <w:proofErr w:type="gramStart"/>
                        <w:r w:rsidRPr="007D007A">
                          <w:rPr>
                            <w:rFonts w:ascii="Calibri" w:eastAsia="Times New Roman" w:hAnsi="Calibri" w:cs="Calibri"/>
                            <w:b/>
                            <w:bCs/>
                            <w:color w:val="1C283D"/>
                            <w:lang w:eastAsia="tr-TR"/>
                          </w:rPr>
                          <w:t>fıkra:RG</w:t>
                        </w:r>
                        <w:proofErr w:type="gramEnd"/>
                        <w:r w:rsidRPr="007D007A">
                          <w:rPr>
                            <w:rFonts w:ascii="Calibri" w:eastAsia="Times New Roman" w:hAnsi="Calibri" w:cs="Calibri"/>
                            <w:b/>
                            <w:bCs/>
                            <w:color w:val="1C283D"/>
                            <w:lang w:eastAsia="tr-TR"/>
                          </w:rPr>
                          <w:t>-4/7/1988-19862)</w:t>
                        </w:r>
                        <w:r w:rsidRPr="007D007A">
                          <w:rPr>
                            <w:rFonts w:ascii="Calibri" w:eastAsia="Times New Roman" w:hAnsi="Calibri" w:cs="Calibri"/>
                            <w:color w:val="1C283D"/>
                            <w:lang w:eastAsia="tr-TR"/>
                          </w:rPr>
                          <w:t xml:space="preserve"> Lisansüstü öğretim, 2809 sayılı kanun ile üniversitelerde rektörlüklere bağlı olarak kurulan enstitüler tarafından düzenlenir ve yürütülür. Lisansüstü öğretim ve bununla ilgili faaliyetlerin gerektirdiği harcamalar; üniversite bütçesinden, döner sermayelerden, üniversite dışı kurum ve kuruluşlardan üniversiteye yapılacak araştırma ile ilgili mali destekten, rektörlüğün onay ve iznine bağlı olarak, ilgili enstitü müdürü tarafından yapılır.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eğitim öğretim, araştırma, uygulama ve yayın faaliyetleri ile ilgili çalışmaların sürdürülmesinde, üniversite birimlerinin imkânlarından da yararlanılır.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lastRenderedPageBreak/>
                          <w:t xml:space="preserve">Sağlık Bilimlerindeki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çalışmalar ilgili kuruluşun klinik, poliklinik, Laboratuvar ve ameliyathane gibi tesislerinde veya uygulama ve araştırma merkezlerinde yapılır.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9 –</w:t>
                        </w:r>
                        <w:r w:rsidRPr="007D007A">
                          <w:rPr>
                            <w:rFonts w:ascii="Calibri" w:eastAsia="Times New Roman" w:hAnsi="Calibri" w:cs="Calibri"/>
                            <w:color w:val="1C283D"/>
                            <w:lang w:eastAsia="tr-TR"/>
                          </w:rPr>
                          <w:t xml:space="preserve"> Enstitü Anabilim Dalları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ders programları, Üniversite Senatolarınca kararlaştırılan asgari muhtevaya uymak şartı ile ilgili Enstitü Kurulunda görüşülür ve bu kurul tarafından onaylanır.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Bir yarıyılda hangi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derslerin açılacağı ve bu derslerin hangi öğretim üyeleri tarafından verileceği, ilgili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başkanlarının öğretim üyeleriyle birlikte yapacakları tespitlere dayalı olarak Enstitü Kurulu tarafından belirlenir.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10 –</w:t>
                        </w:r>
                        <w:r w:rsidRPr="007D007A">
                          <w:rPr>
                            <w:rFonts w:ascii="Calibri" w:eastAsia="Times New Roman" w:hAnsi="Calibri" w:cs="Calibri"/>
                            <w:color w:val="1C283D"/>
                            <w:lang w:eastAsia="tr-TR"/>
                          </w:rPr>
                          <w:t xml:space="preserve"> Öğrenciler, hangi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programda öğretim görmek istediklerini giriş sınavı için aday kaydı sırasında belirlerler.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Enstitü Kurulu tarafından onaylanan dersler içinden hangilerinin öğrencilerin özel ders programlarında yer alacağına, öğrencinin danışmanı karar verir. Bu görev, tez danışmanı atanıncaya kadar, ilgili Enstitü Anabilim veya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dalı başkanı tarafından yapılır.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11 –</w:t>
                        </w:r>
                        <w:r w:rsidRPr="007D007A">
                          <w:rPr>
                            <w:rFonts w:ascii="Calibri" w:eastAsia="Times New Roman" w:hAnsi="Calibri" w:cs="Calibri"/>
                            <w:color w:val="1C283D"/>
                            <w:lang w:eastAsia="tr-TR"/>
                          </w:rPr>
                          <w:t xml:space="preserve"> Tez veya sanat yeterliği danışmanları, ilgili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başkanları ile ilgili dekanların görüşleri de alınarak, Enstitü Yönetim Kurulu tarafından atanır ve öğrencilerin tez veya uygulama konuları belirlenir.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12 –</w:t>
                        </w:r>
                        <w:r w:rsidRPr="007D007A">
                          <w:rPr>
                            <w:rFonts w:ascii="Calibri" w:eastAsia="Times New Roman" w:hAnsi="Calibri" w:cs="Calibri"/>
                            <w:color w:val="1C283D"/>
                            <w:lang w:eastAsia="tr-TR"/>
                          </w:rPr>
                          <w:t xml:space="preserve"> Enstitü anabilim veya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dallarının, birden fazla enstitünün ilgi alanına giren,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eğitim-öğretim, araştırma, uygulama ve yayın faaliyetlerinin gerektirdiği koordinasyon ilgili enstitü müdürleri tarafından sağlanır.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13 –</w:t>
                        </w:r>
                        <w:r w:rsidRPr="007D007A">
                          <w:rPr>
                            <w:rFonts w:ascii="Calibri" w:eastAsia="Times New Roman" w:hAnsi="Calibri" w:cs="Calibri"/>
                            <w:color w:val="1C283D"/>
                            <w:lang w:eastAsia="tr-TR"/>
                          </w:rPr>
                          <w:t xml:space="preserve"> Üniversiteler,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eğitim öğretim enstitülerinin enstitü anabilim veya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dalı kurulmamış dallarında eleman yetiştirmek üzere, bu alanlarda eğitim yapan üniversitelere öğrenci gönderebilirler. Üniversiteler bu öğrencilere burs verebilecekleri gibi uygun </w:t>
                        </w:r>
                        <w:proofErr w:type="gramStart"/>
                        <w:r w:rsidRPr="007D007A">
                          <w:rPr>
                            <w:rFonts w:ascii="Calibri" w:eastAsia="Times New Roman" w:hAnsi="Calibri" w:cs="Calibri"/>
                            <w:color w:val="1C283D"/>
                            <w:lang w:eastAsia="tr-TR"/>
                          </w:rPr>
                          <w:t>kadrolarını,</w:t>
                        </w:r>
                        <w:proofErr w:type="gramEnd"/>
                        <w:r w:rsidRPr="007D007A">
                          <w:rPr>
                            <w:rFonts w:ascii="Calibri" w:eastAsia="Times New Roman" w:hAnsi="Calibri" w:cs="Calibri"/>
                            <w:color w:val="1C283D"/>
                            <w:lang w:eastAsia="tr-TR"/>
                          </w:rPr>
                          <w:t xml:space="preserve"> veya diğer mali imkânlarını bu dalda eğitim yapan üniversitelerin enstitülerine tahsis etmeleri de mümkündür. Böyle tahsis edilen bir burs veya bir kadroya veya diğer malî imkâna, sınavla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öğrenci seçimi, eğitim yapacak üniversitenin enstitüsü tarafından yürütülür, ancak ataması kadronun ait olduğu üniversiteye yapılır.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Ek Madde 1 – (</w:t>
                        </w:r>
                        <w:proofErr w:type="gramStart"/>
                        <w:r w:rsidRPr="007D007A">
                          <w:rPr>
                            <w:rFonts w:ascii="Calibri" w:eastAsia="Times New Roman" w:hAnsi="Calibri" w:cs="Calibri"/>
                            <w:b/>
                            <w:bCs/>
                            <w:color w:val="1C283D"/>
                            <w:lang w:eastAsia="tr-TR"/>
                          </w:rPr>
                          <w:t>Ek:RG</w:t>
                        </w:r>
                        <w:proofErr w:type="gramEnd"/>
                        <w:r w:rsidRPr="007D007A">
                          <w:rPr>
                            <w:rFonts w:ascii="Calibri" w:eastAsia="Times New Roman" w:hAnsi="Calibri" w:cs="Calibri"/>
                            <w:b/>
                            <w:bCs/>
                            <w:color w:val="1C283D"/>
                            <w:lang w:eastAsia="tr-TR"/>
                          </w:rPr>
                          <w:t xml:space="preserve">-16/7/1999-23757)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İki veya daha fazla yükseköğretim kurumunun önerisi ve Yükseköğretim Kurulu kararı </w:t>
                        </w:r>
                        <w:proofErr w:type="gramStart"/>
                        <w:r w:rsidRPr="007D007A">
                          <w:rPr>
                            <w:rFonts w:ascii="Calibri" w:eastAsia="Times New Roman" w:hAnsi="Calibri" w:cs="Calibri"/>
                            <w:color w:val="1C283D"/>
                            <w:lang w:eastAsia="tr-TR"/>
                          </w:rPr>
                          <w:t>ile,</w:t>
                        </w:r>
                        <w:proofErr w:type="gramEnd"/>
                        <w:r w:rsidRPr="007D007A">
                          <w:rPr>
                            <w:rFonts w:ascii="Calibri" w:eastAsia="Times New Roman" w:hAnsi="Calibri" w:cs="Calibri"/>
                            <w:color w:val="1C283D"/>
                            <w:lang w:eastAsia="tr-TR"/>
                          </w:rPr>
                          <w:t xml:space="preserve"> yükseköğretim kurumları arasında ortaklaşa yürütülecek lisans üstü programlar açılabilir.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Ayrıca, kamu ve özel sektör kuruluşları da, ortak lisansüstü programlar açmak için yükseköğretim kurumlarına öneride bulunabilirler. Bu öneriler, yukarıda belirtilen usule göre sonuçlandırılır.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color w:val="1C283D"/>
                            <w:lang w:eastAsia="tr-TR"/>
                          </w:rPr>
                          <w:t xml:space="preserve">Bu şekilde açılacak lisansüstü programların uygulama esasları, bu Yönetmelik ve </w:t>
                        </w:r>
                        <w:proofErr w:type="gramStart"/>
                        <w:r w:rsidRPr="007D007A">
                          <w:rPr>
                            <w:rFonts w:ascii="Calibri" w:eastAsia="Times New Roman" w:hAnsi="Calibri" w:cs="Calibri"/>
                            <w:color w:val="1C283D"/>
                            <w:lang w:eastAsia="tr-TR"/>
                          </w:rPr>
                          <w:t>1/7/1996</w:t>
                        </w:r>
                        <w:proofErr w:type="gramEnd"/>
                        <w:r w:rsidRPr="007D007A">
                          <w:rPr>
                            <w:rFonts w:ascii="Calibri" w:eastAsia="Times New Roman" w:hAnsi="Calibri" w:cs="Calibri"/>
                            <w:color w:val="1C283D"/>
                            <w:lang w:eastAsia="tr-TR"/>
                          </w:rPr>
                          <w:t xml:space="preserve"> tarihli ve 22683 sayılı Resmî </w:t>
                        </w:r>
                        <w:proofErr w:type="spellStart"/>
                        <w:r w:rsidRPr="007D007A">
                          <w:rPr>
                            <w:rFonts w:ascii="Calibri" w:eastAsia="Times New Roman" w:hAnsi="Calibri" w:cs="Calibri"/>
                            <w:color w:val="1C283D"/>
                            <w:lang w:eastAsia="tr-TR"/>
                          </w:rPr>
                          <w:t>Gazete’de</w:t>
                        </w:r>
                        <w:proofErr w:type="spellEnd"/>
                        <w:r w:rsidRPr="007D007A">
                          <w:rPr>
                            <w:rFonts w:ascii="Calibri" w:eastAsia="Times New Roman" w:hAnsi="Calibri" w:cs="Calibri"/>
                            <w:color w:val="1C283D"/>
                            <w:lang w:eastAsia="tr-TR"/>
                          </w:rPr>
                          <w:t xml:space="preserve"> yayımlanan Lisansüstü Eğitim ve Öğretim Yönetmeliği hükümleri çerçevesinde, ilgili yükseköğretim kurumları tarafından ortaklaşa belirlenir.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Geçici Madde 1 –</w:t>
                        </w:r>
                        <w:r w:rsidRPr="007D007A">
                          <w:rPr>
                            <w:rFonts w:ascii="Calibri" w:eastAsia="Times New Roman" w:hAnsi="Calibri" w:cs="Calibri"/>
                            <w:color w:val="1C283D"/>
                            <w:lang w:eastAsia="tr-TR"/>
                          </w:rPr>
                          <w:t xml:space="preserve"> Bu Yönetmelik yayınlanmadan önce, o yükseköğretim kurumunda veya kuruluşta mevcut olan mevzuata uygun olarak sürdürülen işleyiş ve uygulamalar, en geç 1982-1983 ikinci yarıyılından itibaren bu Yönetmelik hükümlerine intibak ettirilir.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Geçici Madde 2 –</w:t>
                        </w:r>
                        <w:r w:rsidRPr="007D007A">
                          <w:rPr>
                            <w:rFonts w:ascii="Calibri" w:eastAsia="Times New Roman" w:hAnsi="Calibri" w:cs="Calibri"/>
                            <w:color w:val="1C283D"/>
                            <w:lang w:eastAsia="tr-TR"/>
                          </w:rPr>
                          <w:t xml:space="preserve"> Bu Yönetmeliğin yürürlüğe girişinden itibaren iki ay içinde, yükseköğretim kurumları enstitü anabilim ve enstitü </w:t>
                        </w:r>
                        <w:proofErr w:type="spellStart"/>
                        <w:r w:rsidRPr="007D007A">
                          <w:rPr>
                            <w:rFonts w:ascii="Calibri" w:eastAsia="Times New Roman" w:hAnsi="Calibri" w:cs="Calibri"/>
                            <w:color w:val="1C283D"/>
                            <w:lang w:eastAsia="tr-TR"/>
                          </w:rPr>
                          <w:t>anasanat</w:t>
                        </w:r>
                        <w:proofErr w:type="spellEnd"/>
                        <w:r w:rsidRPr="007D007A">
                          <w:rPr>
                            <w:rFonts w:ascii="Calibri" w:eastAsia="Times New Roman" w:hAnsi="Calibri" w:cs="Calibri"/>
                            <w:color w:val="1C283D"/>
                            <w:lang w:eastAsia="tr-TR"/>
                          </w:rPr>
                          <w:t xml:space="preserve"> dalları yapıları ile </w:t>
                        </w:r>
                        <w:proofErr w:type="gramStart"/>
                        <w:r w:rsidRPr="007D007A">
                          <w:rPr>
                            <w:rFonts w:ascii="Calibri" w:eastAsia="Times New Roman" w:hAnsi="Calibri" w:cs="Calibri"/>
                            <w:color w:val="1C283D"/>
                            <w:lang w:eastAsia="tr-TR"/>
                          </w:rPr>
                          <w:t>lisans üstü</w:t>
                        </w:r>
                        <w:proofErr w:type="gramEnd"/>
                        <w:r w:rsidRPr="007D007A">
                          <w:rPr>
                            <w:rFonts w:ascii="Calibri" w:eastAsia="Times New Roman" w:hAnsi="Calibri" w:cs="Calibri"/>
                            <w:color w:val="1C283D"/>
                            <w:lang w:eastAsia="tr-TR"/>
                          </w:rPr>
                          <w:t xml:space="preserve"> programlarının adlarını onay için Yükseköğretim Kurulu’na gönderir. Bu programlardan hangilerinin o yükseköğretim kurumunda sürdürülmesine devam edileceğine Yükseköğretim Kurulu karar verir.</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14 –</w:t>
                        </w:r>
                        <w:r w:rsidRPr="007D007A">
                          <w:rPr>
                            <w:rFonts w:ascii="Calibri" w:eastAsia="Times New Roman" w:hAnsi="Calibri" w:cs="Calibri"/>
                            <w:color w:val="1C283D"/>
                            <w:lang w:eastAsia="tr-TR"/>
                          </w:rPr>
                          <w:t xml:space="preserve"> Bu Yönetmelik yayımı tarihinde yürürlüğe girer. </w:t>
                        </w:r>
                      </w:p>
                      <w:p w:rsidR="007D007A" w:rsidRPr="007D007A" w:rsidRDefault="007D007A" w:rsidP="007D007A">
                        <w:pPr>
                          <w:spacing w:after="0" w:line="300" w:lineRule="atLeast"/>
                          <w:ind w:firstLine="567"/>
                          <w:jc w:val="both"/>
                          <w:rPr>
                            <w:rFonts w:ascii="Times New Roman" w:eastAsia="Times New Roman" w:hAnsi="Times New Roman" w:cs="Times New Roman"/>
                            <w:color w:val="1C283D"/>
                            <w:sz w:val="24"/>
                            <w:szCs w:val="24"/>
                            <w:lang w:eastAsia="tr-TR"/>
                          </w:rPr>
                        </w:pPr>
                        <w:r w:rsidRPr="007D007A">
                          <w:rPr>
                            <w:rFonts w:ascii="Calibri" w:eastAsia="Times New Roman" w:hAnsi="Calibri" w:cs="Calibri"/>
                            <w:b/>
                            <w:bCs/>
                            <w:color w:val="1C283D"/>
                            <w:lang w:eastAsia="tr-TR"/>
                          </w:rPr>
                          <w:t>Madde 15 –</w:t>
                        </w:r>
                        <w:r w:rsidRPr="007D007A">
                          <w:rPr>
                            <w:rFonts w:ascii="Calibri" w:eastAsia="Times New Roman" w:hAnsi="Calibri" w:cs="Calibri"/>
                            <w:color w:val="1C283D"/>
                            <w:lang w:eastAsia="tr-TR"/>
                          </w:rPr>
                          <w:t xml:space="preserve"> Bu Yönetmelik Yükseköğretim Kurulu Başkanı tarafından yürütülür.  </w:t>
                        </w:r>
                      </w:p>
                      <w:p w:rsidR="007D007A" w:rsidRPr="007D007A" w:rsidRDefault="007D007A" w:rsidP="007D007A">
                        <w:pPr>
                          <w:spacing w:after="0" w:line="300" w:lineRule="atLeast"/>
                          <w:jc w:val="right"/>
                          <w:rPr>
                            <w:rFonts w:ascii="Arial" w:eastAsia="Times New Roman" w:hAnsi="Arial" w:cs="Arial"/>
                            <w:b/>
                            <w:bCs/>
                            <w:color w:val="808080"/>
                            <w:sz w:val="15"/>
                            <w:szCs w:val="15"/>
                            <w:lang w:eastAsia="tr-TR"/>
                          </w:rPr>
                        </w:pPr>
                        <w:r w:rsidRPr="007D007A">
                          <w:rPr>
                            <w:rFonts w:ascii="Arial" w:eastAsia="Times New Roman" w:hAnsi="Arial" w:cs="Arial"/>
                            <w:b/>
                            <w:bCs/>
                            <w:color w:val="808080"/>
                            <w:sz w:val="15"/>
                            <w:szCs w:val="15"/>
                            <w:lang w:eastAsia="tr-TR"/>
                          </w:rPr>
                          <w:t xml:space="preserve">Sayfa </w:t>
                        </w:r>
                      </w:p>
                      <w:p w:rsidR="007D007A" w:rsidRPr="007D007A" w:rsidRDefault="007D007A" w:rsidP="007D007A">
                        <w:pPr>
                          <w:spacing w:after="0" w:line="300" w:lineRule="atLeast"/>
                          <w:jc w:val="right"/>
                          <w:rPr>
                            <w:rFonts w:ascii="Arial" w:eastAsia="Times New Roman" w:hAnsi="Arial" w:cs="Arial"/>
                            <w:b/>
                            <w:bCs/>
                            <w:color w:val="808080"/>
                            <w:sz w:val="15"/>
                            <w:szCs w:val="15"/>
                            <w:lang w:eastAsia="tr-TR"/>
                          </w:rPr>
                        </w:pPr>
                      </w:p>
                    </w:tc>
                  </w:tr>
                </w:tbl>
                <w:p w:rsidR="007D007A" w:rsidRPr="007D007A" w:rsidRDefault="007D007A" w:rsidP="007D007A">
                  <w:pPr>
                    <w:spacing w:after="0" w:line="300" w:lineRule="atLeast"/>
                    <w:jc w:val="center"/>
                    <w:rPr>
                      <w:rFonts w:ascii="Arial" w:eastAsia="Times New Roman" w:hAnsi="Arial" w:cs="Arial"/>
                      <w:color w:val="1C283D"/>
                      <w:sz w:val="15"/>
                      <w:szCs w:val="15"/>
                      <w:lang w:eastAsia="tr-TR"/>
                    </w:rPr>
                  </w:pPr>
                </w:p>
              </w:tc>
            </w:tr>
          </w:tbl>
          <w:p w:rsidR="007D007A" w:rsidRPr="007D007A" w:rsidRDefault="007D007A" w:rsidP="007D007A">
            <w:pPr>
              <w:spacing w:after="0" w:line="300" w:lineRule="atLeast"/>
              <w:rPr>
                <w:rFonts w:ascii="Arial" w:eastAsia="Times New Roman" w:hAnsi="Arial" w:cs="Arial"/>
                <w:color w:val="1C283D"/>
                <w:sz w:val="15"/>
                <w:szCs w:val="15"/>
                <w:lang w:eastAsia="tr-TR"/>
              </w:rPr>
            </w:pPr>
          </w:p>
        </w:tc>
      </w:tr>
      <w:tr w:rsidR="007D007A" w:rsidRPr="007D007A" w:rsidTr="007D007A">
        <w:tblPrEx>
          <w:jc w:val="center"/>
        </w:tblPrEx>
        <w:trPr>
          <w:tblCellSpacing w:w="0" w:type="dxa"/>
          <w:jc w:val="center"/>
        </w:trPr>
        <w:tc>
          <w:tcPr>
            <w:tcW w:w="0" w:type="auto"/>
            <w:tcBorders>
              <w:top w:val="single" w:sz="6" w:space="0" w:color="C0C0C0"/>
              <w:left w:val="nil"/>
              <w:bottom w:val="nil"/>
              <w:right w:val="nil"/>
            </w:tcBorders>
            <w:tcMar>
              <w:top w:w="45" w:type="dxa"/>
              <w:left w:w="45" w:type="dxa"/>
              <w:bottom w:w="45" w:type="dxa"/>
              <w:right w:w="45" w:type="dxa"/>
            </w:tcMar>
            <w:vAlign w:val="bottom"/>
            <w:hideMark/>
          </w:tcPr>
          <w:p w:rsidR="007D007A" w:rsidRPr="007D007A" w:rsidRDefault="007D007A" w:rsidP="007D007A">
            <w:pPr>
              <w:spacing w:after="0" w:line="300" w:lineRule="atLeast"/>
              <w:rPr>
                <w:rFonts w:ascii="Arial" w:eastAsia="Times New Roman" w:hAnsi="Arial" w:cs="Arial"/>
                <w:color w:val="1C283D"/>
                <w:sz w:val="15"/>
                <w:szCs w:val="15"/>
                <w:lang w:eastAsia="tr-TR"/>
              </w:rPr>
            </w:pPr>
          </w:p>
        </w:tc>
      </w:tr>
    </w:tbl>
    <w:p w:rsidR="007D007A" w:rsidRPr="007D007A" w:rsidRDefault="007D007A" w:rsidP="007D007A">
      <w:pPr>
        <w:spacing w:after="0" w:line="300" w:lineRule="atLeast"/>
        <w:rPr>
          <w:rFonts w:ascii="Arial" w:eastAsia="Times New Roman" w:hAnsi="Arial" w:cs="Arial"/>
          <w:color w:val="1C283D"/>
          <w:sz w:val="15"/>
          <w:szCs w:val="15"/>
          <w:lang w:eastAsia="tr-TR"/>
        </w:rPr>
      </w:pPr>
    </w:p>
    <w:p w:rsidR="007D007A" w:rsidRPr="007D007A" w:rsidRDefault="007D007A" w:rsidP="007D007A">
      <w:pPr>
        <w:pBdr>
          <w:top w:val="single" w:sz="6" w:space="1" w:color="auto"/>
        </w:pBdr>
        <w:spacing w:after="0" w:line="240" w:lineRule="auto"/>
        <w:jc w:val="center"/>
        <w:rPr>
          <w:rFonts w:ascii="Arial" w:eastAsia="Times New Roman" w:hAnsi="Arial" w:cs="Arial"/>
          <w:vanish/>
          <w:sz w:val="16"/>
          <w:szCs w:val="16"/>
          <w:lang w:eastAsia="tr-TR"/>
        </w:rPr>
      </w:pPr>
      <w:r w:rsidRPr="007D007A">
        <w:rPr>
          <w:rFonts w:ascii="Arial" w:eastAsia="Times New Roman" w:hAnsi="Arial" w:cs="Arial"/>
          <w:vanish/>
          <w:sz w:val="16"/>
          <w:szCs w:val="16"/>
          <w:lang w:eastAsia="tr-TR"/>
        </w:rPr>
        <w:t>Formun Altı</w:t>
      </w:r>
    </w:p>
    <w:p w:rsidR="00622BF6" w:rsidRDefault="007D007A" w:rsidP="007D007A">
      <w:r w:rsidRPr="007D007A">
        <w:rPr>
          <w:rFonts w:ascii="Arial" w:eastAsia="Times New Roman" w:hAnsi="Arial" w:cs="Arial"/>
          <w:noProof/>
          <w:color w:val="1C283D"/>
          <w:sz w:val="15"/>
          <w:szCs w:val="15"/>
          <w:lang w:eastAsia="tr-TR"/>
        </w:rPr>
        <mc:AlternateContent>
          <mc:Choice Requires="wps">
            <w:drawing>
              <wp:inline distT="0" distB="0" distL="0" distR="0" wp14:anchorId="4A7B18D3" wp14:editId="54112F80">
                <wp:extent cx="304800" cy="304800"/>
                <wp:effectExtent l="0" t="0" r="0" b="0"/>
                <wp:docPr id="2" name="__overFlowElement" descr="http://www.mevzuat.gov.tr/Metin.Aspx?MevzuatKod=7.5.10165&amp;MevzuatIliski=0&amp;sourceXmlSearch=Lisans%20%C3%9Cst%C3%BC%20E%C4%9Fitim-%C3%96%C4%9Freti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D32A3" id="__overFlowElement" o:spid="_x0000_s1026" alt="http://www.mevzuat.gov.tr/Metin.Aspx?MevzuatKod=7.5.10165&amp;MevzuatIliski=0&amp;sourceXmlSearch=Lisans%20%C3%9Cst%C3%BC%20E%C4%9Fitim-%C3%96%C4%9Freti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nOZKNLQMAAF8G&#10;AAAOAAAAAAAAAAAAAAAAAC4CAABkcnMvZTJvRG9jLnhtbFBLAQItABQABgAIAAAAIQBMoOks2AAA&#10;AAMBAAAPAAAAAAAAAAAAAAAAAIcFAABkcnMvZG93bnJldi54bWxQSwUGAAAAAAQABADzAAAAjAYA&#10;AAAA&#10;" filled="f" stroked="f">
                <o:lock v:ext="edit" aspectratio="t"/>
                <w10:anchorlock/>
              </v:rect>
            </w:pict>
          </mc:Fallback>
        </mc:AlternateContent>
      </w:r>
    </w:p>
    <w:sectPr w:rsidR="00622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7A"/>
    <w:rsid w:val="0015509D"/>
    <w:rsid w:val="00622BF6"/>
    <w:rsid w:val="007D00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23B5D02E-B4F7-4180-89BA-DF1F06E6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32774">
      <w:bodyDiv w:val="1"/>
      <w:marLeft w:val="0"/>
      <w:marRight w:val="0"/>
      <w:marTop w:val="0"/>
      <w:marBottom w:val="0"/>
      <w:divBdr>
        <w:top w:val="none" w:sz="0" w:space="0" w:color="auto"/>
        <w:left w:val="none" w:sz="0" w:space="0" w:color="auto"/>
        <w:bottom w:val="none" w:sz="0" w:space="0" w:color="auto"/>
        <w:right w:val="none" w:sz="0" w:space="0" w:color="auto"/>
      </w:divBdr>
      <w:divsChild>
        <w:div w:id="1036275104">
          <w:marLeft w:val="0"/>
          <w:marRight w:val="0"/>
          <w:marTop w:val="0"/>
          <w:marBottom w:val="0"/>
          <w:divBdr>
            <w:top w:val="none" w:sz="0" w:space="0" w:color="auto"/>
            <w:left w:val="none" w:sz="0" w:space="0" w:color="auto"/>
            <w:bottom w:val="none" w:sz="0" w:space="0" w:color="auto"/>
            <w:right w:val="none" w:sz="0" w:space="0" w:color="auto"/>
          </w:divBdr>
        </w:div>
        <w:div w:id="550044047">
          <w:marLeft w:val="0"/>
          <w:marRight w:val="0"/>
          <w:marTop w:val="0"/>
          <w:marBottom w:val="0"/>
          <w:divBdr>
            <w:top w:val="none" w:sz="0" w:space="0" w:color="auto"/>
            <w:left w:val="none" w:sz="0" w:space="0" w:color="auto"/>
            <w:bottom w:val="none" w:sz="0" w:space="0" w:color="auto"/>
            <w:right w:val="none" w:sz="0" w:space="0" w:color="auto"/>
          </w:divBdr>
        </w:div>
        <w:div w:id="319818338">
          <w:marLeft w:val="0"/>
          <w:marRight w:val="0"/>
          <w:marTop w:val="100"/>
          <w:marBottom w:val="100"/>
          <w:divBdr>
            <w:top w:val="none" w:sz="0" w:space="0" w:color="auto"/>
            <w:left w:val="none" w:sz="0" w:space="0" w:color="auto"/>
            <w:bottom w:val="none" w:sz="0" w:space="0" w:color="auto"/>
            <w:right w:val="none" w:sz="0" w:space="0" w:color="auto"/>
          </w:divBdr>
          <w:divsChild>
            <w:div w:id="1883323447">
              <w:marLeft w:val="0"/>
              <w:marRight w:val="0"/>
              <w:marTop w:val="0"/>
              <w:marBottom w:val="0"/>
              <w:divBdr>
                <w:top w:val="none" w:sz="0" w:space="0" w:color="auto"/>
                <w:left w:val="none" w:sz="0" w:space="0" w:color="auto"/>
                <w:bottom w:val="none" w:sz="0" w:space="0" w:color="auto"/>
                <w:right w:val="none" w:sz="0" w:space="0" w:color="auto"/>
              </w:divBdr>
              <w:divsChild>
                <w:div w:id="1703019400">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217351279">
              <w:marLeft w:val="0"/>
              <w:marRight w:val="0"/>
              <w:marTop w:val="0"/>
              <w:marBottom w:val="0"/>
              <w:divBdr>
                <w:top w:val="none" w:sz="0" w:space="0" w:color="auto"/>
                <w:left w:val="none" w:sz="0" w:space="0" w:color="auto"/>
                <w:bottom w:val="none" w:sz="0" w:space="0" w:color="auto"/>
                <w:right w:val="none" w:sz="0" w:space="0" w:color="auto"/>
              </w:divBdr>
              <w:divsChild>
                <w:div w:id="1898055486">
                  <w:marLeft w:val="0"/>
                  <w:marRight w:val="0"/>
                  <w:marTop w:val="0"/>
                  <w:marBottom w:val="0"/>
                  <w:divBdr>
                    <w:top w:val="none" w:sz="0" w:space="0" w:color="auto"/>
                    <w:left w:val="none" w:sz="0" w:space="0" w:color="auto"/>
                    <w:bottom w:val="none" w:sz="0" w:space="0" w:color="auto"/>
                    <w:right w:val="none" w:sz="0" w:space="0" w:color="auto"/>
                  </w:divBdr>
                </w:div>
                <w:div w:id="1478261348">
                  <w:marLeft w:val="0"/>
                  <w:marRight w:val="0"/>
                  <w:marTop w:val="0"/>
                  <w:marBottom w:val="0"/>
                  <w:divBdr>
                    <w:top w:val="none" w:sz="0" w:space="0" w:color="auto"/>
                    <w:left w:val="none" w:sz="0" w:space="0" w:color="auto"/>
                    <w:bottom w:val="none" w:sz="0" w:space="0" w:color="auto"/>
                    <w:right w:val="none" w:sz="0" w:space="0" w:color="auto"/>
                  </w:divBdr>
                </w:div>
                <w:div w:id="1949582324">
                  <w:marLeft w:val="0"/>
                  <w:marRight w:val="0"/>
                  <w:marTop w:val="0"/>
                  <w:marBottom w:val="0"/>
                  <w:divBdr>
                    <w:top w:val="none" w:sz="0" w:space="0" w:color="auto"/>
                    <w:left w:val="none" w:sz="0" w:space="0" w:color="auto"/>
                    <w:bottom w:val="none" w:sz="0" w:space="0" w:color="auto"/>
                    <w:right w:val="none" w:sz="0" w:space="0" w:color="auto"/>
                  </w:divBdr>
                </w:div>
                <w:div w:id="236982091">
                  <w:marLeft w:val="0"/>
                  <w:marRight w:val="0"/>
                  <w:marTop w:val="0"/>
                  <w:marBottom w:val="0"/>
                  <w:divBdr>
                    <w:top w:val="none" w:sz="0" w:space="0" w:color="auto"/>
                    <w:left w:val="none" w:sz="0" w:space="0" w:color="auto"/>
                    <w:bottom w:val="none" w:sz="0" w:space="0" w:color="auto"/>
                    <w:right w:val="none" w:sz="0" w:space="0" w:color="auto"/>
                  </w:divBdr>
                </w:div>
              </w:divsChild>
            </w:div>
            <w:div w:id="1047297293">
              <w:marLeft w:val="0"/>
              <w:marRight w:val="0"/>
              <w:marTop w:val="0"/>
              <w:marBottom w:val="0"/>
              <w:divBdr>
                <w:top w:val="none" w:sz="0" w:space="0" w:color="auto"/>
                <w:left w:val="none" w:sz="0" w:space="0" w:color="auto"/>
                <w:bottom w:val="none" w:sz="0" w:space="0" w:color="auto"/>
                <w:right w:val="none" w:sz="0" w:space="0" w:color="auto"/>
              </w:divBdr>
              <w:divsChild>
                <w:div w:id="1210609006">
                  <w:marLeft w:val="0"/>
                  <w:marRight w:val="0"/>
                  <w:marTop w:val="0"/>
                  <w:marBottom w:val="0"/>
                  <w:divBdr>
                    <w:top w:val="none" w:sz="0" w:space="0" w:color="auto"/>
                    <w:left w:val="none" w:sz="0" w:space="0" w:color="auto"/>
                    <w:bottom w:val="none" w:sz="0" w:space="0" w:color="auto"/>
                    <w:right w:val="none" w:sz="0" w:space="0" w:color="auto"/>
                  </w:divBdr>
                  <w:divsChild>
                    <w:div w:id="12540514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1615</Words>
  <Characters>9211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mersin üniversitesi</dc:creator>
  <cp:keywords/>
  <dc:description/>
  <cp:lastModifiedBy>mersin üniversitesi</cp:lastModifiedBy>
  <cp:revision>2</cp:revision>
  <dcterms:created xsi:type="dcterms:W3CDTF">2019-09-04T14:07:00Z</dcterms:created>
  <dcterms:modified xsi:type="dcterms:W3CDTF">2019-09-04T14:07:00Z</dcterms:modified>
</cp:coreProperties>
</file>