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C468B" w:rsidRDefault="0008054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MERSİN ÜNİVERSİTESİ</w:t>
      </w:r>
    </w:p>
    <w:p w14:paraId="00000002" w14:textId="77777777" w:rsidR="001C468B" w:rsidRDefault="0008054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SAĞLIK BİLİMLERİ ENSTİTÜSÜ</w:t>
      </w:r>
    </w:p>
    <w:p w14:paraId="00000003" w14:textId="77777777" w:rsidR="001C468B" w:rsidRDefault="0008054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MÜFREDAT KOMİSYONU ÇALIŞMA USUL VE ESASLARI</w:t>
      </w:r>
    </w:p>
    <w:p w14:paraId="00000004" w14:textId="77777777" w:rsidR="001C468B" w:rsidRDefault="001C468B">
      <w:pPr>
        <w:jc w:val="center"/>
        <w:rPr>
          <w:sz w:val="24"/>
          <w:szCs w:val="24"/>
        </w:rPr>
      </w:pPr>
    </w:p>
    <w:p w14:paraId="00000005" w14:textId="77777777" w:rsidR="001C468B" w:rsidRDefault="0008054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BİRİNCİ BÖLÜM</w:t>
      </w:r>
    </w:p>
    <w:p w14:paraId="00000006" w14:textId="77777777" w:rsidR="001C468B" w:rsidRDefault="0008054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Başlangıç Hükümleri     </w:t>
      </w:r>
    </w:p>
    <w:p w14:paraId="00000007" w14:textId="77777777" w:rsidR="001C468B" w:rsidRDefault="001C468B">
      <w:pPr>
        <w:jc w:val="both"/>
        <w:rPr>
          <w:sz w:val="24"/>
          <w:szCs w:val="24"/>
        </w:rPr>
      </w:pPr>
    </w:p>
    <w:p w14:paraId="00000008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Amaç</w:t>
      </w:r>
    </w:p>
    <w:p w14:paraId="00000009" w14:textId="77777777" w:rsidR="001C468B" w:rsidRDefault="00080541">
      <w:pPr>
        <w:ind w:firstLine="567"/>
        <w:jc w:val="both"/>
        <w:rPr>
          <w:strike/>
          <w:sz w:val="24"/>
          <w:szCs w:val="24"/>
          <w:highlight w:val="yellow"/>
        </w:rPr>
      </w:pPr>
      <w:r>
        <w:rPr>
          <w:b/>
          <w:sz w:val="24"/>
          <w:szCs w:val="24"/>
        </w:rPr>
        <w:t>MADDE 1- (1)</w:t>
      </w:r>
      <w:r>
        <w:rPr>
          <w:sz w:val="24"/>
          <w:szCs w:val="24"/>
        </w:rPr>
        <w:t xml:space="preserve"> Bu Usul ve Esasların amacı, Mersin Üniversitesi Sağlık Bilimleri Enstitüsü Müfredat Komisyonunun işleyişine ilişkin usul ve esasları düzenlemektir.  </w:t>
      </w:r>
    </w:p>
    <w:p w14:paraId="0000000A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Kapsam</w:t>
      </w:r>
    </w:p>
    <w:p w14:paraId="0000000B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MADDE 2- </w:t>
      </w:r>
      <w:r>
        <w:rPr>
          <w:sz w:val="24"/>
          <w:szCs w:val="24"/>
        </w:rPr>
        <w:t>(1) Bu Usul ve Esaslar, Mersin Üniversitesi Sağlık Bilimleri Enstitüsü Müfredat Komisyonu</w:t>
      </w:r>
      <w:r>
        <w:rPr>
          <w:sz w:val="24"/>
          <w:szCs w:val="24"/>
        </w:rPr>
        <w:t>nun oluşturulması, işleyişi, çalışma esasları ve görevlerine ilişkin hükümleri kapsar.</w:t>
      </w:r>
    </w:p>
    <w:p w14:paraId="0000000C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Dayanak</w:t>
      </w:r>
    </w:p>
    <w:p w14:paraId="0000000D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3- (1)</w:t>
      </w:r>
      <w:r>
        <w:rPr>
          <w:sz w:val="24"/>
          <w:szCs w:val="24"/>
        </w:rPr>
        <w:t xml:space="preserve"> Bu Usul ve Esaslar, 2547 sayılı Yükseköğretim Kanunu'nun 16 </w:t>
      </w:r>
      <w:proofErr w:type="spellStart"/>
      <w:r>
        <w:rPr>
          <w:sz w:val="24"/>
          <w:szCs w:val="24"/>
        </w:rPr>
        <w:t>ıncı</w:t>
      </w:r>
      <w:proofErr w:type="spellEnd"/>
      <w:r>
        <w:rPr>
          <w:sz w:val="24"/>
          <w:szCs w:val="24"/>
        </w:rPr>
        <w:t xml:space="preserve"> maddesine dayanılarak hazırlanmıştır.</w:t>
      </w:r>
    </w:p>
    <w:p w14:paraId="0000000E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Tanımlar</w:t>
      </w:r>
    </w:p>
    <w:p w14:paraId="0000000F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4-</w:t>
      </w:r>
      <w:r>
        <w:rPr>
          <w:sz w:val="24"/>
          <w:szCs w:val="24"/>
        </w:rPr>
        <w:t xml:space="preserve"> (1) Bu Usul ve Esaslarda ge</w:t>
      </w:r>
      <w:r>
        <w:rPr>
          <w:sz w:val="24"/>
          <w:szCs w:val="24"/>
        </w:rPr>
        <w:t xml:space="preserve">çen; </w:t>
      </w:r>
    </w:p>
    <w:p w14:paraId="00000010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a) Avrupa Kredi Transfer Sistemi (AKTS): Öğrencinin bir dersi başarıyla tamamlayabilmesi için yapması gereken çalışmaların tamamını kapsayan ve öğrencilere kazandırılacak bilgi, beceri ve yetkinlikleri elde etmek için gerekli olan toplam iş yükünü te</w:t>
      </w:r>
      <w:r>
        <w:rPr>
          <w:sz w:val="24"/>
          <w:szCs w:val="24"/>
        </w:rPr>
        <w:t>mel alan sayısal değeri,</w:t>
      </w:r>
    </w:p>
    <w:p w14:paraId="00000011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b) Dış Paydaş: Sağlık Bilimleri Enstitüsü dış paydaşını,</w:t>
      </w:r>
    </w:p>
    <w:p w14:paraId="00000012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c) Enstitü: Mersin Üniversitesi Sağlık Bilimleri Enstitüsünü,</w:t>
      </w:r>
    </w:p>
    <w:p w14:paraId="00000013" w14:textId="77777777" w:rsidR="001C468B" w:rsidRDefault="00080541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ç) Enstitü Kurulu: Mersin Üniversitesi Sağlık Bilimleri Enstitü </w:t>
      </w:r>
      <w:proofErr w:type="spellStart"/>
      <w:r>
        <w:rPr>
          <w:sz w:val="24"/>
          <w:szCs w:val="24"/>
        </w:rPr>
        <w:t>Kurulunıı</w:t>
      </w:r>
      <w:proofErr w:type="spellEnd"/>
      <w:r>
        <w:rPr>
          <w:sz w:val="24"/>
          <w:szCs w:val="24"/>
        </w:rPr>
        <w:t>,</w:t>
      </w:r>
    </w:p>
    <w:p w14:paraId="00000014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d) Enstitü Yönetim Kurulu: Mersin Üni</w:t>
      </w:r>
      <w:r>
        <w:rPr>
          <w:sz w:val="24"/>
          <w:szCs w:val="24"/>
        </w:rPr>
        <w:t>versitesi Sağlık Bilimleri Enstitü Yönetim Kurulunu,</w:t>
      </w:r>
    </w:p>
    <w:p w14:paraId="00000015" w14:textId="77777777" w:rsidR="001C468B" w:rsidRDefault="00080541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e) Komisyon: Mersin Üniversitesi Sağlık Bilimleri Enstitüsü Müfredat Komisyonunu,</w:t>
      </w:r>
    </w:p>
    <w:p w14:paraId="00000016" w14:textId="77777777" w:rsidR="001C468B" w:rsidRDefault="00080541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f) Kredi: Ulusal krediyi,</w:t>
      </w:r>
    </w:p>
    <w:p w14:paraId="00000017" w14:textId="77777777" w:rsidR="001C468B" w:rsidRDefault="00080541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g) Müdür: Mersin Üniversitesi Sağlık Bilimleri Enstitü Müdürünü,</w:t>
      </w:r>
    </w:p>
    <w:p w14:paraId="00000018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ğ) İç Paydaş: Sağlık Bilimleri</w:t>
      </w:r>
      <w:r>
        <w:rPr>
          <w:sz w:val="24"/>
          <w:szCs w:val="24"/>
        </w:rPr>
        <w:t xml:space="preserve"> Enstitüsü </w:t>
      </w:r>
      <w:r>
        <w:rPr>
          <w:sz w:val="24"/>
          <w:szCs w:val="24"/>
        </w:rPr>
        <w:t>iç paydaşını,</w:t>
      </w:r>
    </w:p>
    <w:p w14:paraId="00000019" w14:textId="77777777" w:rsidR="001C468B" w:rsidRDefault="00080541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h) Öğrenci: Mersin Üniversitesi Sağlık Bilimleri Enstitüsüne kayıtlı öğrenciyi,</w:t>
      </w:r>
    </w:p>
    <w:p w14:paraId="0000001A" w14:textId="77777777" w:rsidR="001C468B" w:rsidRDefault="00080541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ı) Program: Yüksek Lisans ve Doktora programını,</w:t>
      </w:r>
    </w:p>
    <w:p w14:paraId="0000001B" w14:textId="77777777" w:rsidR="001C468B" w:rsidRDefault="00080541">
      <w:pPr>
        <w:widowControl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i) Senato: Mersin Üniversitesi Senatosunu,</w:t>
      </w:r>
    </w:p>
    <w:p w14:paraId="0000001C" w14:textId="77777777" w:rsidR="001C468B" w:rsidRDefault="00080541">
      <w:pPr>
        <w:widowControl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</w:t>
      </w:r>
      <w:r>
        <w:rPr>
          <w:sz w:val="24"/>
          <w:szCs w:val="24"/>
        </w:rPr>
        <w:t>YÖK: Yüksek Öğretim Kurulunu ifade eder.</w:t>
      </w:r>
    </w:p>
    <w:p w14:paraId="0000001D" w14:textId="77777777" w:rsidR="001C468B" w:rsidRDefault="001C468B">
      <w:pPr>
        <w:widowControl/>
        <w:jc w:val="center"/>
        <w:rPr>
          <w:b/>
          <w:sz w:val="24"/>
          <w:szCs w:val="24"/>
        </w:rPr>
      </w:pPr>
    </w:p>
    <w:p w14:paraId="0000001E" w14:textId="77777777" w:rsidR="001C468B" w:rsidRDefault="00080541">
      <w:pPr>
        <w:widowControl/>
        <w:jc w:val="center"/>
        <w:rPr>
          <w:sz w:val="24"/>
          <w:szCs w:val="24"/>
        </w:rPr>
      </w:pPr>
      <w:r>
        <w:rPr>
          <w:b/>
          <w:sz w:val="24"/>
          <w:szCs w:val="24"/>
        </w:rPr>
        <w:t>İKİNCİ BÖLÜM</w:t>
      </w:r>
    </w:p>
    <w:p w14:paraId="0000001F" w14:textId="77777777" w:rsidR="001C468B" w:rsidRDefault="00080541">
      <w:pPr>
        <w:widowControl/>
        <w:jc w:val="center"/>
        <w:rPr>
          <w:sz w:val="24"/>
          <w:szCs w:val="24"/>
        </w:rPr>
      </w:pPr>
      <w:r>
        <w:rPr>
          <w:b/>
          <w:sz w:val="24"/>
          <w:szCs w:val="24"/>
        </w:rPr>
        <w:t>Komisyon ile ilgili Genel Hükümler</w:t>
      </w:r>
    </w:p>
    <w:p w14:paraId="00000020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Komisyonun Oluşturulması</w:t>
      </w:r>
    </w:p>
    <w:p w14:paraId="00000021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5- (1)</w:t>
      </w:r>
      <w:r>
        <w:rPr>
          <w:sz w:val="24"/>
          <w:szCs w:val="24"/>
        </w:rPr>
        <w:t xml:space="preserve"> Komisyon, eğitimden sorumlu bir Müdür Yardımcısı, Enstitüde programı bulunan Fakülteleri temsil eden öğretim üyeleri, en az 1(bir) öğrenci temsilcisi, Enstitü sekreteri ve öğrenci işl</w:t>
      </w:r>
      <w:r>
        <w:rPr>
          <w:sz w:val="24"/>
          <w:szCs w:val="24"/>
        </w:rPr>
        <w:t>erinden sorumlu 1(bir) personel olmak üzere en az 11 (on bir) en fazla 15 (on beş) üyeden oluşur. Komisyon Başkanı, Müdür tarafından komisyon üyeleri arasından seçilir.</w:t>
      </w:r>
    </w:p>
    <w:p w14:paraId="00000022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Komisyon Başkanının Görev ve Sorumlulukları</w:t>
      </w:r>
    </w:p>
    <w:p w14:paraId="00000023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6-</w:t>
      </w:r>
      <w:r>
        <w:rPr>
          <w:sz w:val="24"/>
          <w:szCs w:val="24"/>
        </w:rPr>
        <w:t xml:space="preserve"> (1) Komisyon başkanının görev ve s</w:t>
      </w:r>
      <w:r>
        <w:rPr>
          <w:sz w:val="24"/>
          <w:szCs w:val="24"/>
        </w:rPr>
        <w:t>orumlukları şunlardır:</w:t>
      </w:r>
    </w:p>
    <w:p w14:paraId="00000024" w14:textId="77777777" w:rsidR="001C468B" w:rsidRDefault="00080541">
      <w:pPr>
        <w:widowControl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a) Toplantı gündemini belirlemek.</w:t>
      </w:r>
    </w:p>
    <w:p w14:paraId="00000025" w14:textId="77777777" w:rsidR="001C468B" w:rsidRDefault="00080541">
      <w:pPr>
        <w:widowControl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b) Gerekli durumlarda alt komisyonlar kurmak.</w:t>
      </w:r>
    </w:p>
    <w:p w14:paraId="00000026" w14:textId="77777777" w:rsidR="001C468B" w:rsidRDefault="00080541">
      <w:pPr>
        <w:widowControl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c) Alınan kararları Enstitü Kuruluna sunmak.</w:t>
      </w:r>
    </w:p>
    <w:p w14:paraId="00000027" w14:textId="77777777" w:rsidR="001C468B" w:rsidRDefault="00080541">
      <w:pPr>
        <w:widowControl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d) Komisyonu temsil etmek.</w:t>
      </w:r>
    </w:p>
    <w:p w14:paraId="00000028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Komisyonun Çalışma Esasları</w:t>
      </w:r>
    </w:p>
    <w:p w14:paraId="00000029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7-</w:t>
      </w:r>
      <w:r>
        <w:rPr>
          <w:sz w:val="24"/>
          <w:szCs w:val="24"/>
        </w:rPr>
        <w:t xml:space="preserve"> (1) Komisyon;</w:t>
      </w:r>
    </w:p>
    <w:p w14:paraId="0000002A" w14:textId="77777777" w:rsidR="001C468B" w:rsidRDefault="00080541">
      <w:pPr>
        <w:widowControl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a) Enstitü Kurulu ile Enstitü Yönetim Kurulunun bir alt komisyonu olarak çalışır.</w:t>
      </w:r>
    </w:p>
    <w:p w14:paraId="0000002B" w14:textId="77777777" w:rsidR="001C468B" w:rsidRDefault="00080541">
      <w:pPr>
        <w:widowControl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b) Komisyon Başkanı'nın çağrısı ile her yarıyıl için en az bir kez veya gerekli görüldüğü hallerde toplanarak üye tam sayısının salt çoğunluğu ile karar alır.</w:t>
      </w:r>
    </w:p>
    <w:p w14:paraId="0000002C" w14:textId="77777777" w:rsidR="001C468B" w:rsidRDefault="00080541">
      <w:pPr>
        <w:widowControl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c) Gündemde ola</w:t>
      </w:r>
      <w:r>
        <w:rPr>
          <w:sz w:val="24"/>
          <w:szCs w:val="24"/>
        </w:rPr>
        <w:t>n konuları ilgili mevzuatlar çerçevesinde inceler ve karar alır.</w:t>
      </w:r>
    </w:p>
    <w:p w14:paraId="0000002D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Komisyonun Görevleri</w:t>
      </w:r>
    </w:p>
    <w:p w14:paraId="0000002E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8-</w:t>
      </w:r>
      <w:r>
        <w:rPr>
          <w:sz w:val="24"/>
          <w:szCs w:val="24"/>
        </w:rPr>
        <w:t xml:space="preserve"> (1) Komisyonun görevleri;</w:t>
      </w:r>
    </w:p>
    <w:p w14:paraId="0000002F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Eğitim programının amaçlarını ve yapısını, ders içeriklerini, iç ve dış paydaşların görüşlerini de alarak, sürekli değerlendirir ve </w:t>
      </w:r>
      <w:r>
        <w:rPr>
          <w:sz w:val="24"/>
          <w:szCs w:val="24"/>
        </w:rPr>
        <w:t>önerilerde bulunur.</w:t>
      </w:r>
    </w:p>
    <w:p w14:paraId="00000030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b) Enstitünün eğitim stratejilerinin geliştirilmesi için Enstitü kalite komisyonuna önerilerde bulunur,</w:t>
      </w:r>
    </w:p>
    <w:p w14:paraId="00000031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c) Eğitimin niteliğinin artırılması için iç ve dış paydaşların görüşlerini de alarak önerilerde bulunur,</w:t>
      </w:r>
    </w:p>
    <w:p w14:paraId="00000032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d) Eğitim-Öğretim planlarında değişiklik yapılmasına ilişkin konuları (yeni ders eklenmesi, çıkarılması, var olan derslerde ad, kod, içerik, zorunlu/seçmeli, kredi, AKTS vb. değişiklik yapılması gibi) inceler, değerlendirir ve önerilerde bulunur,</w:t>
      </w:r>
    </w:p>
    <w:p w14:paraId="00000033" w14:textId="77777777" w:rsidR="001C468B" w:rsidRDefault="00080541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>
        <w:rPr>
          <w:sz w:val="24"/>
          <w:szCs w:val="24"/>
        </w:rPr>
        <w:t xml:space="preserve">Her </w:t>
      </w:r>
      <w:proofErr w:type="gramStart"/>
      <w:r>
        <w:rPr>
          <w:sz w:val="24"/>
          <w:szCs w:val="24"/>
        </w:rPr>
        <w:t>yı</w:t>
      </w:r>
      <w:r>
        <w:rPr>
          <w:sz w:val="24"/>
          <w:szCs w:val="24"/>
        </w:rPr>
        <w:t>l sonunda</w:t>
      </w:r>
      <w:proofErr w:type="gramEnd"/>
      <w:r>
        <w:rPr>
          <w:sz w:val="24"/>
          <w:szCs w:val="24"/>
        </w:rPr>
        <w:t xml:space="preserve"> komisyonun yaptığı çalışmaları Enstitü </w:t>
      </w:r>
      <w:r>
        <w:rPr>
          <w:sz w:val="24"/>
          <w:szCs w:val="24"/>
        </w:rPr>
        <w:t>Müdürüne</w:t>
      </w:r>
      <w:r>
        <w:rPr>
          <w:sz w:val="24"/>
          <w:szCs w:val="24"/>
        </w:rPr>
        <w:t xml:space="preserve"> sunar.  </w:t>
      </w:r>
    </w:p>
    <w:p w14:paraId="00000034" w14:textId="77777777" w:rsidR="001C468B" w:rsidRDefault="001C468B">
      <w:pPr>
        <w:widowControl/>
        <w:ind w:firstLine="567"/>
        <w:jc w:val="both"/>
        <w:rPr>
          <w:sz w:val="24"/>
          <w:szCs w:val="24"/>
        </w:rPr>
      </w:pPr>
    </w:p>
    <w:p w14:paraId="00000035" w14:textId="77777777" w:rsidR="001C468B" w:rsidRDefault="00080541">
      <w:pPr>
        <w:spacing w:before="40" w:after="40"/>
        <w:ind w:left="1134" w:right="1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ÜÇÜNCÜ BÖLÜM</w:t>
      </w:r>
    </w:p>
    <w:p w14:paraId="00000036" w14:textId="77777777" w:rsidR="001C468B" w:rsidRDefault="00080541">
      <w:pPr>
        <w:spacing w:before="40" w:after="40"/>
        <w:ind w:left="1134" w:right="1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Çeşitli ve Son Hükümler</w:t>
      </w:r>
    </w:p>
    <w:p w14:paraId="00000037" w14:textId="77777777" w:rsidR="001C468B" w:rsidRDefault="001C468B">
      <w:pPr>
        <w:jc w:val="both"/>
        <w:rPr>
          <w:sz w:val="24"/>
          <w:szCs w:val="24"/>
        </w:rPr>
      </w:pPr>
    </w:p>
    <w:p w14:paraId="00000038" w14:textId="77777777" w:rsidR="001C468B" w:rsidRDefault="00080541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Hükmü bulunmayan haller</w:t>
      </w:r>
    </w:p>
    <w:p w14:paraId="00000039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9-</w:t>
      </w:r>
      <w:r>
        <w:rPr>
          <w:sz w:val="24"/>
          <w:szCs w:val="24"/>
        </w:rPr>
        <w:t xml:space="preserve"> (1) Bu Usul ve Esaslarda hüküm bulunmayan durumlarda, ilgili mevzuat hükümleri ile YÖK, Senato ve ilgili kurulların k</w:t>
      </w:r>
      <w:r>
        <w:rPr>
          <w:sz w:val="24"/>
          <w:szCs w:val="24"/>
        </w:rPr>
        <w:t>ararları uygulanır.</w:t>
      </w:r>
    </w:p>
    <w:p w14:paraId="0000003A" w14:textId="77777777" w:rsidR="001C468B" w:rsidRDefault="00080541">
      <w:pPr>
        <w:spacing w:before="40" w:after="40"/>
        <w:ind w:right="1134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Yürürlük</w:t>
      </w:r>
    </w:p>
    <w:p w14:paraId="0000003B" w14:textId="77777777" w:rsidR="001C468B" w:rsidRDefault="000805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10</w:t>
      </w:r>
      <w:r>
        <w:rPr>
          <w:sz w:val="24"/>
          <w:szCs w:val="24"/>
        </w:rPr>
        <w:t>-(1) Bu Usul ve Esaslar Senato tarafından kabul edildiği tarihte yürürlüğe girer.</w:t>
      </w:r>
    </w:p>
    <w:p w14:paraId="0000003C" w14:textId="77777777" w:rsidR="001C468B" w:rsidRDefault="00080541">
      <w:pPr>
        <w:spacing w:before="40" w:after="40"/>
        <w:ind w:right="113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Yürütme</w:t>
      </w:r>
    </w:p>
    <w:p w14:paraId="0000003D" w14:textId="77777777" w:rsidR="001C468B" w:rsidRDefault="00080541">
      <w:pPr>
        <w:spacing w:before="40" w:after="40"/>
        <w:ind w:right="113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11-</w:t>
      </w:r>
      <w:r>
        <w:rPr>
          <w:sz w:val="24"/>
          <w:szCs w:val="24"/>
        </w:rPr>
        <w:t xml:space="preserve"> (1) Bu Usul ve Esasların hükümlerini Enstitü Müdürü yürütür. </w:t>
      </w:r>
    </w:p>
    <w:p w14:paraId="0000003E" w14:textId="77777777" w:rsidR="001C468B" w:rsidRDefault="001C468B">
      <w:pPr>
        <w:widowControl/>
        <w:ind w:left="720"/>
        <w:jc w:val="both"/>
        <w:rPr>
          <w:sz w:val="24"/>
          <w:szCs w:val="24"/>
        </w:rPr>
      </w:pPr>
    </w:p>
    <w:p w14:paraId="0000003F" w14:textId="77777777" w:rsidR="001C468B" w:rsidRDefault="00080541">
      <w:pPr>
        <w:widowControl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00000040" w14:textId="77777777" w:rsidR="001C468B" w:rsidRDefault="001C468B">
      <w:pPr>
        <w:jc w:val="both"/>
        <w:rPr>
          <w:sz w:val="24"/>
          <w:szCs w:val="24"/>
        </w:rPr>
      </w:pPr>
    </w:p>
    <w:sectPr w:rsidR="001C468B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8B"/>
    <w:rsid w:val="00080541"/>
    <w:rsid w:val="001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8F5DB-D15B-4F59-BB9A-64844A1B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GvdeMetni">
    <w:name w:val="Body Text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7"/>
      <w:szCs w:val="27"/>
      <w:lang w:val="tr-TR" w:eastAsia="en-US"/>
    </w:rPr>
  </w:style>
  <w:style w:type="character" w:customStyle="1" w:styleId="GvdeMetniChar">
    <w:name w:val="Gövde Metni Char"/>
    <w:rPr>
      <w:rFonts w:ascii="Times New Roman" w:eastAsia="Times New Roman" w:hAnsi="Times New Roman" w:cs="Times New Roman"/>
      <w:w w:val="100"/>
      <w:position w:val="-1"/>
      <w:sz w:val="27"/>
      <w:szCs w:val="27"/>
      <w:effect w:val="none"/>
      <w:vertAlign w:val="baseline"/>
      <w:cs w:val="0"/>
      <w:em w:val="none"/>
      <w:lang w:val="tr-TR"/>
    </w:rPr>
  </w:style>
  <w:style w:type="paragraph" w:styleId="ListeParagraf">
    <w:name w:val="List Paragraph"/>
    <w:basedOn w:val="Normal"/>
    <w:pPr>
      <w:suppressAutoHyphens/>
      <w:autoSpaceDE w:val="0"/>
      <w:autoSpaceDN w:val="0"/>
      <w:spacing w:line="1" w:lineRule="atLeast"/>
      <w:ind w:leftChars="-1" w:left="23" w:hangingChars="1" w:hanging="248"/>
      <w:textDirection w:val="btLr"/>
      <w:textAlignment w:val="top"/>
      <w:outlineLvl w:val="0"/>
    </w:pPr>
    <w:rPr>
      <w:position w:val="-1"/>
      <w:lang w:val="tr-TR"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+XY9+TblFL2HR5RZSx5JnK58g==">CgMxLjA4AHIhMXVUbnEzS0M2TW10RzUzTDR0aTNlUWNNQl83M0NiSXZH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Tasdelen</dc:creator>
  <cp:lastModifiedBy>user</cp:lastModifiedBy>
  <cp:revision>2</cp:revision>
  <dcterms:created xsi:type="dcterms:W3CDTF">2025-09-23T07:15:00Z</dcterms:created>
  <dcterms:modified xsi:type="dcterms:W3CDTF">2025-09-23T07:15:00Z</dcterms:modified>
</cp:coreProperties>
</file>