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b w:val="1"/>
          <w:bCs w:val="1"/>
          <w:sz w:val="28"/>
          <w:szCs w:val="28"/>
          <w:rtl w:val="0"/>
        </w:rPr>
        <w:t xml:space="preserve">Programa Özgü Ölçütlerin Değerlendirilmesi Anketi (Lisans Öğrencileri)</w:t>
      </w:r>
      <w:r w:rsidDel="00000000" w:rsidR="00000000" w:rsidRPr="00000000">
        <w:rPr>
          <w:rtl w:val="0"/>
        </w:rPr>
      </w:r>
    </w:p>
    <w:p w:rsidR="00000000" w:rsidDel="00000000" w:rsidP="00000000" w:rsidRDefault="00000000" w:rsidRPr="00000000" w14:paraId="00000002">
      <w:pPr>
        <w:spacing w:after="240" w:before="240" w:lineRule="auto"/>
        <w:jc w:val="center"/>
        <w:rPr>
          <w:b w:val="1"/>
          <w:bCs w:val="1"/>
          <w:sz w:val="24"/>
          <w:szCs w:val="24"/>
        </w:rPr>
      </w:pPr>
      <w:r w:rsidDel="00000000" w:rsidR="00000000" w:rsidRPr="00000000">
        <w:rPr>
          <w:b w:val="1"/>
          <w:bCs w:val="1"/>
          <w:sz w:val="24"/>
          <w:szCs w:val="24"/>
          <w:rtl w:val="0"/>
        </w:rPr>
        <w:t xml:space="preserve">Mersin Üniversitesi - İktisadi ve İdari Bilimler Fakültesi –</w:t>
      </w:r>
    </w:p>
    <w:p w:rsidR="00000000" w:rsidDel="00000000" w:rsidP="00000000" w:rsidRDefault="00000000" w:rsidRPr="00000000" w14:paraId="00000003">
      <w:pPr>
        <w:spacing w:after="240" w:before="240" w:lineRule="auto"/>
        <w:jc w:val="center"/>
        <w:rPr/>
      </w:pPr>
      <w:r w:rsidDel="00000000" w:rsidR="00000000" w:rsidRPr="00000000">
        <w:rPr>
          <w:b w:val="1"/>
          <w:bCs w:val="1"/>
          <w:sz w:val="24"/>
          <w:szCs w:val="24"/>
          <w:rtl w:val="0"/>
        </w:rPr>
        <w:t xml:space="preserve">Kamu Yönetimi Bölümü</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Katılımcı Grubu:</w:t>
      </w:r>
      <w:r w:rsidDel="00000000" w:rsidR="00000000" w:rsidRPr="00000000">
        <w:rPr>
          <w:rtl w:val="0"/>
        </w:rPr>
        <w:t xml:space="preserve"> Son Sınıf Öğrencileri</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Anket Türü:</w:t>
      </w:r>
      <w:r w:rsidDel="00000000" w:rsidR="00000000" w:rsidRPr="00000000">
        <w:rPr>
          <w:rtl w:val="0"/>
        </w:rPr>
        <w:t xml:space="preserve"> Kurum içi kalite güvencesi ve akreditasyon süreci kapsamında öğrenci görüşlerini değerlendirme</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Yöntem:</w:t>
      </w:r>
      <w:r w:rsidDel="00000000" w:rsidR="00000000" w:rsidRPr="00000000">
        <w:rPr>
          <w:rtl w:val="0"/>
        </w:rPr>
        <w:t xml:space="preserve"> Yüz yüze / çevrimiçi anket formu</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Toplam Katılımcı Sayısı:</w:t>
      </w:r>
      <w:r w:rsidDel="00000000" w:rsidR="00000000" w:rsidRPr="00000000">
        <w:rPr>
          <w:rtl w:val="0"/>
        </w:rPr>
        <w:t xml:space="preserve"> </w:t>
      </w:r>
      <w:r w:rsidDel="00000000" w:rsidR="00000000" w:rsidRPr="00000000">
        <w:rPr>
          <w:i w:val="1"/>
          <w:iCs w:val="1"/>
          <w:rtl w:val="0"/>
        </w:rPr>
        <w:t xml:space="preserve">27</w:t>
      </w:r>
      <w:r w:rsidDel="00000000" w:rsidR="00000000" w:rsidRPr="00000000">
        <w:rPr>
          <w:rtl w:val="0"/>
        </w:rPr>
      </w:r>
    </w:p>
    <w:p w:rsidR="00000000" w:rsidDel="00000000" w:rsidP="00000000" w:rsidRDefault="00000000" w:rsidRPr="00000000" w14:paraId="00000008">
      <w:pPr>
        <w:rPr/>
      </w:pPr>
      <w:r w:rsidDel="00000000" w:rsidR="00000000" w:rsidRPr="00000000">
        <w:rPr/>
        <w:drawing>
          <wp:inline distB="114300" distT="114300" distL="114300" distR="114300">
            <wp:extent cx="5731200" cy="2730500"/>
            <wp:effectExtent b="0" l="0" r="0" t="0"/>
            <wp:docPr descr="Formlar yanıt grafiği. Soru başlığı: Sınıfınız. Yanıt sayısı: 27 yanıt." id="1" name="image1.png"/>
            <a:graphic>
              <a:graphicData uri="http://schemas.openxmlformats.org/drawingml/2006/picture">
                <pic:pic>
                  <pic:nvPicPr>
                    <pic:cNvPr descr="Formlar yanıt grafiği. Soru başlığı: Sınıfınız. Yanıt sayısı: 27 yanıt." id="0" name="image1.png"/>
                    <pic:cNvPicPr preferRelativeResize="0"/>
                  </pic:nvPicPr>
                  <pic:blipFill>
                    <a:blip r:embed="rId6"/>
                    <a:srcRect b="0" l="0" r="0" t="0"/>
                    <a:stretch>
                      <a:fillRect/>
                    </a:stretch>
                  </pic:blipFill>
                  <pic:spPr>
                    <a:xfrm>
                      <a:off x="0" y="0"/>
                      <a:ext cx="5731200" cy="27305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t xml:space="preserve">Ankete toplam 27 öğrenci katılmış olup, öğrencilerin sınıf düzeylerine göre dağılımı şu şekildedir: %44,4’ü 2. sınıf, %37’si 4. sınıf, %14,8’i 1. sınıf ve %3,7’si 3. sınıf öğrencisidir. Bu oranlar, anket katılımcılarının büyük bölümünün 2. ve 4. sınıf öğrencilerinden oluştuğunu göstermektedir.</w:t>
      </w:r>
    </w:p>
    <w:p w:rsidR="00000000" w:rsidDel="00000000" w:rsidP="00000000" w:rsidRDefault="00000000" w:rsidRPr="00000000" w14:paraId="0000000A">
      <w:pPr>
        <w:rPr/>
      </w:pPr>
      <w:r w:rsidDel="00000000" w:rsidR="00000000" w:rsidRPr="00000000">
        <w:rPr/>
        <w:drawing>
          <wp:inline distB="114300" distT="114300" distL="114300" distR="114300">
            <wp:extent cx="5731200" cy="2603500"/>
            <wp:effectExtent b="0" l="0" r="0" t="0"/>
            <wp:docPr descr="Formlar yanıt grafiği. Soru başlığı: Kamu yönetimi, siyasal kurumlar ve siyaset teorisi alanlarına ilişkin temel kuramsal bilgileri kavrar ve bu bilgileri güncel yönetim sorunlarının analizinde kullanırım. Yanıt sayısı: 26 yanıt." id="2" name="image2.png"/>
            <a:graphic>
              <a:graphicData uri="http://schemas.openxmlformats.org/drawingml/2006/picture">
                <pic:pic>
                  <pic:nvPicPr>
                    <pic:cNvPr descr="Formlar yanıt grafiği. Soru başlığı: Kamu yönetimi, siyasal kurumlar ve siyaset teorisi alanlarına ilişkin temel kuramsal bilgileri kavrar ve bu bilgileri güncel yönetim sorunlarının analizinde kullanırım. Yanıt sayısı: 26 yanıt." id="0" name="image2.png"/>
                    <pic:cNvPicPr preferRelativeResize="0"/>
                  </pic:nvPicPr>
                  <pic:blipFill>
                    <a:blip r:embed="rId7"/>
                    <a:srcRect b="0" l="0" r="0" t="0"/>
                    <a:stretch>
                      <a:fillRect/>
                    </a:stretch>
                  </pic:blipFill>
                  <pic:spPr>
                    <a:xfrm>
                      <a:off x="0" y="0"/>
                      <a:ext cx="5731200" cy="26035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240" w:before="240" w:lineRule="auto"/>
        <w:jc w:val="both"/>
        <w:rPr/>
      </w:pPr>
      <w:r w:rsidDel="00000000" w:rsidR="00000000" w:rsidRPr="00000000">
        <w:rPr>
          <w:rtl w:val="0"/>
        </w:rPr>
        <w:t xml:space="preserve">Ankete katılan öğrencilerin %53,8’i bu bilgi ve becerilere “Katılıyorum” düzeyinde sahip olduğunu belirtmiş, %38,5’i ise “Kesinlikle Katılıyorum” seçeneğini işaretlemiştir. Bu iki yanıt birlikte değerlendirildiğinde, katılımcıların büyük çoğunluğunun (%92,3) ilgili bilgi ve analiz yetkinliğini kazandığını düşündüğü görülmektedir. Öte yandan, %7,7 oranında öğrenci “Kararsızım” ifadesini seçmiştir. “Katılmıyorum” veya “Kesinlikle Katılmıyorum” yanıtı veren öğrenci bulunmamaktadır.</w:t>
      </w:r>
    </w:p>
    <w:p w:rsidR="00000000" w:rsidDel="00000000" w:rsidP="00000000" w:rsidRDefault="00000000" w:rsidRPr="00000000" w14:paraId="0000000D">
      <w:pPr>
        <w:rPr/>
      </w:pPr>
      <w:r w:rsidDel="00000000" w:rsidR="00000000" w:rsidRPr="00000000">
        <w:rPr/>
        <w:drawing>
          <wp:inline distB="114300" distT="114300" distL="114300" distR="114300">
            <wp:extent cx="5731200" cy="2603500"/>
            <wp:effectExtent b="0" l="0" r="0" t="0"/>
            <wp:docPr descr="Formlar yanıt grafiği. Soru başlığı: Kamu yönetimiyle ilgili sorunları, hukuk, iktisat, sosyoloji ve şehircilik gibi farklı disiplinlerin kavram ve kuramlarıyla analiz eder; çok disiplinli bir bakış açısıyla çözüm önerileri geliştiririm. Yanıt sayısı: 27 yanıt." id="4" name="image5.png"/>
            <a:graphic>
              <a:graphicData uri="http://schemas.openxmlformats.org/drawingml/2006/picture">
                <pic:pic>
                  <pic:nvPicPr>
                    <pic:cNvPr descr="Formlar yanıt grafiği. Soru başlığı: Kamu yönetimiyle ilgili sorunları, hukuk, iktisat, sosyoloji ve şehircilik gibi farklı disiplinlerin kavram ve kuramlarıyla analiz eder; çok disiplinli bir bakış açısıyla çözüm önerileri geliştiririm. Yanıt sayısı: 27 yanıt." id="0" name="image5.png"/>
                    <pic:cNvPicPr preferRelativeResize="0"/>
                  </pic:nvPicPr>
                  <pic:blipFill>
                    <a:blip r:embed="rId8"/>
                    <a:srcRect b="0" l="0" r="0" t="0"/>
                    <a:stretch>
                      <a:fillRect/>
                    </a:stretch>
                  </pic:blipFill>
                  <pic:spPr>
                    <a:xfrm>
                      <a:off x="0" y="0"/>
                      <a:ext cx="5731200" cy="26035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240" w:before="240" w:lineRule="auto"/>
        <w:jc w:val="both"/>
        <w:rPr/>
      </w:pPr>
      <w:r w:rsidDel="00000000" w:rsidR="00000000" w:rsidRPr="00000000">
        <w:rPr>
          <w:rtl w:val="0"/>
        </w:rPr>
        <w:t xml:space="preserve">Ankete katılan öğrencilerin %70,4’ü bu yeterliği “Katılıyorum” düzeyinde ifade ederken, %22,2’si “Kesinlikle Katılıyorum” yanıtını vermiştir. Bu sonuç, öğrencilerin çok disiplinli bakış açısıyla kamu yönetimi sorunlarını değerlendirme ve çözüm üretme konusunda büyük ölçüde olumlu görüşe sahip olduklarını göstermektedir. Katılımcıların %7,4’ü “Kararsızım” yanıtını vermiştir. “Katılmıyorum” veya “Kesinlikle Katılmıyorum” yanıtı veren öğrenci bulunmamaktadır.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drawing>
          <wp:inline distB="114300" distT="114300" distL="114300" distR="114300">
            <wp:extent cx="5731200" cy="2603500"/>
            <wp:effectExtent b="0" l="0" r="0" t="0"/>
            <wp:docPr descr="Formlar yanıt grafiği. Soru başlığı: Yerel, ulusal ve uluslararası kamu kurumlarının yapısını, işleyişini ve aralarındaki yönetsel ilişkileri karşılaştırmalı olarak analiz ederim. Yanıt sayısı: 27 yanıt." id="5" name="image4.png"/>
            <a:graphic>
              <a:graphicData uri="http://schemas.openxmlformats.org/drawingml/2006/picture">
                <pic:pic>
                  <pic:nvPicPr>
                    <pic:cNvPr descr="Formlar yanıt grafiği. Soru başlığı: Yerel, ulusal ve uluslararası kamu kurumlarının yapısını, işleyişini ve aralarındaki yönetsel ilişkileri karşılaştırmalı olarak analiz ederim. Yanıt sayısı: 27 yanıt." id="0" name="image4.png"/>
                    <pic:cNvPicPr preferRelativeResize="0"/>
                  </pic:nvPicPr>
                  <pic:blipFill>
                    <a:blip r:embed="rId9"/>
                    <a:srcRect b="0" l="0" r="0" t="0"/>
                    <a:stretch>
                      <a:fillRect/>
                    </a:stretch>
                  </pic:blipFill>
                  <pic:spPr>
                    <a:xfrm>
                      <a:off x="0" y="0"/>
                      <a:ext cx="5731200" cy="26035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240" w:before="240" w:lineRule="auto"/>
        <w:jc w:val="both"/>
        <w:rPr/>
      </w:pPr>
      <w:r w:rsidDel="00000000" w:rsidR="00000000" w:rsidRPr="00000000">
        <w:rPr>
          <w:rtl w:val="0"/>
        </w:rPr>
        <w:t xml:space="preserve">Ankete katılan öğrencilerin %59,3’ü bu yeterliği “Katılıyorum” düzeyinde belirtirken, %22,2’si “Kesinlikle Katılıyorum” yanıtını vermiştir. Bu oranlar, katılımcıların büyük bir kısmının yönetim düzeyleri arasında karşılaştırmalı analiz yapabilme becerisine sahip olduğunu düşündüklerini göstermektedir. Katılımcıların %18,5’i ise “Kararsızım” seçeneğini işaretlemiştir. “Katılmıyorum” veya “Kesinlikle Katılmıyorum” şeklinde olumsuz bir değerlendirme yapan katılımcı bulunmamaktadır.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drawing>
          <wp:inline distB="114300" distT="114300" distL="114300" distR="114300">
            <wp:extent cx="5731200" cy="2603500"/>
            <wp:effectExtent b="0" l="0" r="0" t="0"/>
            <wp:docPr descr="Formlar yanıt grafiği. Soru başlığı: İşletme, iktisat, kamu hukuku, siyasi tarih, kamu maliyesi ve Türk kamu yönetimi gibi alanlara dair aldığı temel dersler aracılığıyla kamu yönetimi alanındaki temel bilgi altyapısını oluştururum. Yanıt sayısı: 27 yanıt." id="3" name="image3.png"/>
            <a:graphic>
              <a:graphicData uri="http://schemas.openxmlformats.org/drawingml/2006/picture">
                <pic:pic>
                  <pic:nvPicPr>
                    <pic:cNvPr descr="Formlar yanıt grafiği. Soru başlığı: İşletme, iktisat, kamu hukuku, siyasi tarih, kamu maliyesi ve Türk kamu yönetimi gibi alanlara dair aldığı temel dersler aracılığıyla kamu yönetimi alanındaki temel bilgi altyapısını oluştururum. Yanıt sayısı: 27 yanıt." id="0" name="image3.png"/>
                    <pic:cNvPicPr preferRelativeResize="0"/>
                  </pic:nvPicPr>
                  <pic:blipFill>
                    <a:blip r:embed="rId10"/>
                    <a:srcRect b="0" l="0" r="0" t="0"/>
                    <a:stretch>
                      <a:fillRect/>
                    </a:stretch>
                  </pic:blipFill>
                  <pic:spPr>
                    <a:xfrm>
                      <a:off x="0" y="0"/>
                      <a:ext cx="5731200" cy="26035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240" w:before="240" w:lineRule="auto"/>
        <w:jc w:val="both"/>
        <w:rPr/>
      </w:pPr>
      <w:r w:rsidDel="00000000" w:rsidR="00000000" w:rsidRPr="00000000">
        <w:rPr>
          <w:rtl w:val="0"/>
        </w:rPr>
        <w:t xml:space="preserve">Ankete katılan öğrencilerin %59,3’ü bu altyapıyı oluşturabildiğini “Katılıyorum” seçeneğiyle belirtmiş, %29,6’sı ise “Kesinlikle Katılıyorum” yanıtını vermiştir. Bu oranlar, öğrencilerin büyük çoğunluğunun kamu yönetimiyle ilişkili disiplinlerden aldıkları derslerin alana dair temel bilgi birikimini kazandırdığına inandıklarını göstermektedir. Katılımcıların %11,1’i “Kararsızım” yanıtını vermiştir. Bu soruya olumsuz (katılmıyorum veya kesinlikle katılmıyorum) yanıt veren öğrenci bulunmamaktadır.</w:t>
      </w:r>
    </w:p>
    <w:p w:rsidR="00000000" w:rsidDel="00000000" w:rsidP="00000000" w:rsidRDefault="00000000" w:rsidRPr="00000000" w14:paraId="00000016">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017">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018">
      <w:pPr>
        <w:spacing w:after="240" w:before="240" w:lineRule="auto"/>
        <w:jc w:val="both"/>
        <w:rPr/>
      </w:pPr>
      <w:r w:rsidDel="00000000" w:rsidR="00000000" w:rsidRPr="00000000">
        <w:rPr>
          <w:b w:val="1"/>
          <w:bCs w:val="1"/>
          <w:rtl w:val="0"/>
        </w:rPr>
        <w:t xml:space="preserve">GENEL DEĞERLENDİRME</w:t>
      </w:r>
      <w:r w:rsidDel="00000000" w:rsidR="00000000" w:rsidRPr="00000000">
        <w:rPr>
          <w:rtl w:val="0"/>
        </w:rPr>
      </w:r>
    </w:p>
    <w:p w:rsidR="00000000" w:rsidDel="00000000" w:rsidP="00000000" w:rsidRDefault="00000000" w:rsidRPr="00000000" w14:paraId="00000019">
      <w:pPr>
        <w:spacing w:after="240" w:before="240" w:lineRule="auto"/>
        <w:jc w:val="both"/>
        <w:rPr/>
      </w:pPr>
      <w:r w:rsidDel="00000000" w:rsidR="00000000" w:rsidRPr="00000000">
        <w:rPr>
          <w:rtl w:val="0"/>
        </w:rPr>
        <w:t xml:space="preserve">Mersin Üniversitesi İktisadi ve İdari Bilimler Fakültesi öğrencilerine uygulanan bu anket, lisans programının temel alan yeterlilikleri açısından öğrencilerin öz değerlendirmelerini yansıtmakta ve programın akademik kazanımlar düzeyini ortaya koymaktadır.</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Anket sonuçları genel olarak değerlendirildiğinde, öğrencilerin büyük çoğunluğunun program kapsamında verilen kuramsal ve uygulamalı derslerle alan yeterliliklerini kazandıklarını düşündükleri görülmektedir. Özellikle kamu yönetimi, siyaset teorisi, hukuk, iktisat, sosyoloji ve şehircilik gibi çok disiplinli alanlarda edinilen bilgi ve becerilerin, güncel yönetim sorunlarını analiz etmede kullanılabildiği yönünde güçlü bir algı bulunmaktadır. Nitekim her bir soru özelinde “Katılıyorum” ve “Kesinlikle Katılıyorum” yanıtlarının oranı genellikle %80’in üzerinde seyretmektedir.</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Katılımcıların çok disiplinli bakış açısıyla çözüm üretme, kamu kurumlarını karşılaştırmalı analiz etme ve temel derslerle bilgi altyapısı oluşturma konularında kendilerini yeterli gördükleri ifade edilmektedir. “Kararsızım” yanıtlarının oranı genellikle %7–18 aralığında kalmakta, “Katılmıyorum” veya “Kesinlikle Katılmıyorum” gibi olumsuz yanıtlar ise hiçbir soruda görülmemektedir.</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Bu sonuçlar, programın genel olarak öğrenme çıktılarıyla uyumlu bir şekilde yürütüldüğünü ve öğrenciler tarafından da olumlu değerlendirildiğini ortaya koymaktadır. Elde edilen veriler, programın güçlü yönlerini desteklerken; kararsız kalan az sayıda öğrencinin olduğu alanlarda içerik veya öğretim yöntemleri açısından mikro düzeyde gözden geçirme yapılabileceğine işaret etmektedir.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